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49" w:rsidRDefault="00B85149" w:rsidP="00B85149">
      <w:pPr>
        <w:pStyle w:val="berschrift2"/>
        <w:numPr>
          <w:ilvl w:val="0"/>
          <w:numId w:val="0"/>
        </w:numPr>
        <w:ind w:left="576" w:hanging="576"/>
      </w:pPr>
      <w:bookmarkStart w:id="0" w:name="_Toc364200144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C7198" wp14:editId="731EB998">
                <wp:simplePos x="0" y="0"/>
                <wp:positionH relativeFrom="column">
                  <wp:posOffset>-50165</wp:posOffset>
                </wp:positionH>
                <wp:positionV relativeFrom="paragraph">
                  <wp:posOffset>685165</wp:posOffset>
                </wp:positionV>
                <wp:extent cx="5873115" cy="1752600"/>
                <wp:effectExtent l="0" t="0" r="13335" b="19050"/>
                <wp:wrapSquare wrapText="bothSides"/>
                <wp:docPr id="7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752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5149" w:rsidRDefault="00B85149" w:rsidP="00B85149">
                            <w:pPr>
                              <w:spacing w:after="0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Dieser Versuch führt den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vor Augen, dass nach einer Reaktion auch noch Ausgangsstoffe vorliegen, nicht nur Produkte, auch wenn die Edukte in exakt dem Mengenverhältnis vorliegen, das für eine vollständige Reaktion nötig wäre. </w:t>
                            </w:r>
                          </w:p>
                          <w:p w:rsidR="00B85149" w:rsidRPr="000D10FB" w:rsidRDefault="00B85149" w:rsidP="00B85149">
                            <w:pPr>
                              <w:spacing w:after="0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Als Chemikalien werden Reagenzien verwendet, die Komplexe bilden. Darauf muss im Unte</w:t>
                            </w:r>
                            <w:r>
                              <w:rPr>
                                <w:color w:val="1F497D" w:themeColor="text2"/>
                              </w:rPr>
                              <w:t>r</w:t>
                            </w:r>
                            <w:r>
                              <w:rPr>
                                <w:color w:val="1F497D" w:themeColor="text2"/>
                              </w:rPr>
                              <w:t>richt jedoch nicht eingegangen werden; stattdessen kann einfach von ‚Verbindungen‘ gespr</w:t>
                            </w:r>
                            <w:r>
                              <w:rPr>
                                <w:color w:val="1F497D" w:themeColor="text2"/>
                              </w:rPr>
                              <w:t>o</w:t>
                            </w:r>
                            <w:r>
                              <w:rPr>
                                <w:color w:val="1F497D" w:themeColor="text2"/>
                              </w:rPr>
                              <w:t>chen werden. Entscheidend ist, dass deutliche Farbwechsel das Vorhandensein von Edukten und Produkten anzeigen.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left:0;text-align:left;margin-left:-3.95pt;margin-top:53.95pt;width:462.4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:rsidR="00B85149" w:rsidRDefault="00B85149" w:rsidP="00B85149">
                      <w:pPr>
                        <w:spacing w:after="0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Dieser Versuch führt den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SuS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vor Augen, dass nach einer Reaktion auch noch Ausgangsstoffe vorliegen, nicht nur Produkte, auch wenn die Edukte in exakt dem Mengenverhältnis vorliegen, das für eine vollständige Reaktion nötig wäre. </w:t>
                      </w:r>
                    </w:p>
                    <w:p w:rsidR="00B85149" w:rsidRPr="000D10FB" w:rsidRDefault="00B85149" w:rsidP="00B85149">
                      <w:pPr>
                        <w:spacing w:after="0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Als Chemikalien werden Reagenzien verwendet, die Komplexe bilden. Darauf muss im Unte</w:t>
                      </w:r>
                      <w:r>
                        <w:rPr>
                          <w:color w:val="1F497D" w:themeColor="text2"/>
                        </w:rPr>
                        <w:t>r</w:t>
                      </w:r>
                      <w:r>
                        <w:rPr>
                          <w:color w:val="1F497D" w:themeColor="text2"/>
                        </w:rPr>
                        <w:t>richt jedoch nicht eingegangen werden; stattdessen kann einfach von ‚Verbindungen‘ gespr</w:t>
                      </w:r>
                      <w:r>
                        <w:rPr>
                          <w:color w:val="1F497D" w:themeColor="text2"/>
                        </w:rPr>
                        <w:t>o</w:t>
                      </w:r>
                      <w:r>
                        <w:rPr>
                          <w:color w:val="1F497D" w:themeColor="text2"/>
                        </w:rPr>
                        <w:t>chen werden. Entscheidend ist, dass deutliche Farbwechsel das Vorhandensein von Edukten und Produkten anzeigen.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V 3 – Einführungsversuch: Bildung von </w:t>
      </w:r>
      <w:proofErr w:type="spellStart"/>
      <w:r>
        <w:t>Eisenthiocyanat</w:t>
      </w:r>
      <w:bookmarkEnd w:id="0"/>
      <w:proofErr w:type="spellEnd"/>
    </w:p>
    <w:p w:rsidR="00B85149" w:rsidRDefault="00B85149" w:rsidP="00B85149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85149" w:rsidRPr="009C5E28" w:rsidTr="0022634C">
        <w:tc>
          <w:tcPr>
            <w:tcW w:w="9322" w:type="dxa"/>
            <w:gridSpan w:val="9"/>
            <w:shd w:val="clear" w:color="auto" w:fill="4F81BD"/>
            <w:vAlign w:val="center"/>
          </w:tcPr>
          <w:p w:rsidR="00B85149" w:rsidRPr="009C5E28" w:rsidRDefault="00B85149" w:rsidP="0022634C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  <w:bookmarkStart w:id="1" w:name="_GoBack"/>
        <w:bookmarkEnd w:id="1"/>
      </w:tr>
      <w:tr w:rsidR="00B85149" w:rsidRPr="009C5E28" w:rsidTr="0022634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5149" w:rsidRPr="009C5E28" w:rsidRDefault="00B85149" w:rsidP="0022634C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Eisen(III)</w:t>
            </w:r>
            <w:proofErr w:type="spellStart"/>
            <w:r>
              <w:rPr>
                <w:sz w:val="20"/>
              </w:rPr>
              <w:t>chlorid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5149" w:rsidRPr="009C5E28" w:rsidRDefault="00B85149" w:rsidP="0022634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 w:rsidRPr="004524A6">
              <w:rPr>
                <w:sz w:val="20"/>
              </w:rPr>
              <w:t>302-315-318-290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85149" w:rsidRPr="009C5E28" w:rsidRDefault="00B85149" w:rsidP="0022634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 w:rsidRPr="004524A6">
              <w:rPr>
                <w:sz w:val="20"/>
              </w:rPr>
              <w:t>28</w:t>
            </w:r>
            <w:r>
              <w:rPr>
                <w:sz w:val="20"/>
              </w:rPr>
              <w:t>0-​302+352-​305+351+338-​313</w:t>
            </w:r>
          </w:p>
        </w:tc>
      </w:tr>
      <w:tr w:rsidR="00B85149" w:rsidRPr="009C5E28" w:rsidTr="0022634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5149" w:rsidRDefault="00B85149" w:rsidP="0022634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5149" w:rsidRPr="009C5E28" w:rsidRDefault="00B85149" w:rsidP="0022634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85149" w:rsidRPr="009C5E28" w:rsidRDefault="00B85149" w:rsidP="0022634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B85149" w:rsidRPr="009C5E28" w:rsidTr="0022634C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B85149" w:rsidRPr="009C5E28" w:rsidRDefault="00B85149" w:rsidP="0022634C">
            <w:pPr>
              <w:spacing w:after="0" w:line="276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Kaliumthiocyanat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B85149" w:rsidRPr="009C5E28" w:rsidRDefault="00B85149" w:rsidP="0022634C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 w:rsidRPr="004524A6">
              <w:rPr>
                <w:sz w:val="20"/>
              </w:rPr>
              <w:t>332-312-302-412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85149" w:rsidRPr="009C5E28" w:rsidRDefault="00B85149" w:rsidP="0022634C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273-​302+352</w:t>
            </w:r>
          </w:p>
        </w:tc>
      </w:tr>
      <w:tr w:rsidR="00B85149" w:rsidRPr="009C5E28" w:rsidTr="0022634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5149" w:rsidRPr="009C5E28" w:rsidRDefault="00B85149" w:rsidP="00226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257508A7" wp14:editId="15D9A91D">
                  <wp:extent cx="504190" cy="50419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5149" w:rsidRPr="009C5E28" w:rsidRDefault="00B85149" w:rsidP="002263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A398B16" wp14:editId="6C99A4C1">
                  <wp:extent cx="504190" cy="50419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5149" w:rsidRPr="009C5E28" w:rsidRDefault="00B85149" w:rsidP="002263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52712E" wp14:editId="3ECCCF4C">
                  <wp:extent cx="504190" cy="50419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5149" w:rsidRPr="009C5E28" w:rsidRDefault="00B85149" w:rsidP="002263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2396B6D" wp14:editId="7FDB261C">
                  <wp:extent cx="504190" cy="50419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5149" w:rsidRPr="009C5E28" w:rsidRDefault="00B85149" w:rsidP="002263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552077F" wp14:editId="06F64844">
                  <wp:extent cx="504190" cy="50419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5149" w:rsidRPr="009C5E28" w:rsidRDefault="00B85149" w:rsidP="002263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13F03DD" wp14:editId="598400BD">
                  <wp:extent cx="504190" cy="50419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5149" w:rsidRPr="009C5E28" w:rsidRDefault="00B85149" w:rsidP="002263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81D2921" wp14:editId="51BFA1FE">
                  <wp:extent cx="504190" cy="50419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85149" w:rsidRPr="009C5E28" w:rsidRDefault="00B85149" w:rsidP="002263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FB6604B" wp14:editId="529900FA">
                  <wp:extent cx="511175" cy="51117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85149" w:rsidRPr="009C5E28" w:rsidRDefault="00B85149" w:rsidP="002263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2C74798" wp14:editId="421264B7">
                  <wp:extent cx="504190" cy="50419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149" w:rsidRDefault="00B85149" w:rsidP="00B85149">
      <w:pPr>
        <w:tabs>
          <w:tab w:val="left" w:pos="1701"/>
          <w:tab w:val="left" w:pos="1985"/>
        </w:tabs>
        <w:ind w:left="1980" w:hanging="1980"/>
      </w:pPr>
    </w:p>
    <w:p w:rsidR="00B85149" w:rsidRDefault="00B85149" w:rsidP="00B8514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3 x 50 </w:t>
      </w:r>
      <w:proofErr w:type="spellStart"/>
      <w:r>
        <w:t>mL</w:t>
      </w:r>
      <w:proofErr w:type="spellEnd"/>
      <w:r>
        <w:t xml:space="preserve"> Becherglas, Messzylinder, Spatel, Feinwaage</w:t>
      </w:r>
    </w:p>
    <w:p w:rsidR="00B85149" w:rsidRPr="00ED07C2" w:rsidRDefault="00B85149" w:rsidP="00B8514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Eisen(III)</w:t>
      </w:r>
      <w:proofErr w:type="spellStart"/>
      <w:r>
        <w:t>chlorid</w:t>
      </w:r>
      <w:proofErr w:type="spellEnd"/>
      <w:r>
        <w:t xml:space="preserve">, </w:t>
      </w:r>
      <w:proofErr w:type="spellStart"/>
      <w:r>
        <w:t>Kaliumthiocyanat</w:t>
      </w:r>
      <w:proofErr w:type="spellEnd"/>
      <w:r>
        <w:t>, Wasser</w:t>
      </w:r>
    </w:p>
    <w:p w:rsidR="00B85149" w:rsidRDefault="00B85149" w:rsidP="00B85149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0,27 g Eisen(III)</w:t>
      </w:r>
      <w:proofErr w:type="spellStart"/>
      <w:r>
        <w:t>chlorid</w:t>
      </w:r>
      <w:proofErr w:type="spellEnd"/>
      <w:r>
        <w:t xml:space="preserve"> und  0,29 g </w:t>
      </w:r>
      <w:proofErr w:type="spellStart"/>
      <w:r>
        <w:t>Kaliumthiocyanat</w:t>
      </w:r>
      <w:proofErr w:type="spellEnd"/>
      <w:r>
        <w:t xml:space="preserve"> werden abgewogen und in je 300 </w:t>
      </w:r>
      <w:proofErr w:type="spellStart"/>
      <w:r>
        <w:t>mL</w:t>
      </w:r>
      <w:proofErr w:type="spellEnd"/>
      <w:r>
        <w:t xml:space="preserve"> Wasser gelöst. </w:t>
      </w:r>
    </w:p>
    <w:p w:rsidR="00B85149" w:rsidRDefault="00B85149" w:rsidP="00B85149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In die drei Bechergläser werden jeweils gleiche Mengen der beiden Lösungen gegeben. In das eine Becherglas wird anschließend festes Eisen(III)</w:t>
      </w:r>
      <w:proofErr w:type="spellStart"/>
      <w:r>
        <w:t>chlorid</w:t>
      </w:r>
      <w:proofErr w:type="spellEnd"/>
      <w:r>
        <w:t xml:space="preserve">, in ein anderes festes </w:t>
      </w:r>
      <w:proofErr w:type="spellStart"/>
      <w:r>
        <w:t>Kaliumthiocyanat</w:t>
      </w:r>
      <w:proofErr w:type="spellEnd"/>
      <w:r>
        <w:t xml:space="preserve"> gegeben. Zum Ve</w:t>
      </w:r>
      <w:r>
        <w:t>r</w:t>
      </w:r>
      <w:r>
        <w:t xml:space="preserve">gleich werden die drei Lösungen auf ein weißes Blatt Papier gestellt. </w:t>
      </w:r>
    </w:p>
    <w:p w:rsidR="00B85149" w:rsidRDefault="00B85149" w:rsidP="00B85149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Beim Zusammengeben der farblosen </w:t>
      </w:r>
      <w:proofErr w:type="spellStart"/>
      <w:r>
        <w:t>Kaliumthiocyanatlösung</w:t>
      </w:r>
      <w:proofErr w:type="spellEnd"/>
      <w:r>
        <w:t xml:space="preserve"> und der ge</w:t>
      </w:r>
      <w:r>
        <w:t>l</w:t>
      </w:r>
      <w:r>
        <w:t>ben Eisen(III)</w:t>
      </w:r>
      <w:proofErr w:type="spellStart"/>
      <w:r>
        <w:t>chloridlösung</w:t>
      </w:r>
      <w:proofErr w:type="spellEnd"/>
      <w:r>
        <w:t xml:space="preserve"> entsteht eine tiefrote Lösung. Diese Lösung wird bei weiterer Zugabe von Eisen(III)</w:t>
      </w:r>
      <w:proofErr w:type="spellStart"/>
      <w:r>
        <w:t>chlorid</w:t>
      </w:r>
      <w:proofErr w:type="spellEnd"/>
      <w:r>
        <w:t xml:space="preserve"> oder </w:t>
      </w:r>
      <w:proofErr w:type="spellStart"/>
      <w:r>
        <w:t>Kaliumthiocyanat</w:t>
      </w:r>
      <w:proofErr w:type="spellEnd"/>
      <w:r>
        <w:t xml:space="preserve"> noch dunkler.</w:t>
      </w:r>
    </w:p>
    <w:p w:rsidR="00B85149" w:rsidRDefault="00B85149" w:rsidP="00B85149">
      <w:pPr>
        <w:keepNext/>
        <w:tabs>
          <w:tab w:val="left" w:pos="1701"/>
          <w:tab w:val="left" w:pos="1985"/>
        </w:tabs>
        <w:spacing w:after="0" w:line="240" w:lineRule="auto"/>
        <w:ind w:left="1980" w:hanging="1980"/>
      </w:pPr>
      <w:r>
        <w:rPr>
          <w:noProof/>
          <w:lang w:eastAsia="de-DE"/>
        </w:rPr>
        <w:lastRenderedPageBreak/>
        <w:drawing>
          <wp:inline distT="0" distB="0" distL="0" distR="0" wp14:anchorId="56AE99CB" wp14:editId="034EEE5F">
            <wp:extent cx="3786389" cy="2129009"/>
            <wp:effectExtent l="0" t="0" r="5080" b="5080"/>
            <wp:docPr id="96" name="Grafi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4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930" cy="213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49" w:rsidRDefault="00B85149" w:rsidP="00B85149">
      <w:pPr>
        <w:pStyle w:val="Beschriftung"/>
        <w:jc w:val="left"/>
        <w:rPr>
          <w:noProof/>
        </w:rPr>
      </w:pPr>
      <w:r>
        <w:t xml:space="preserve">Abb. 9 - </w:t>
      </w:r>
      <w:r>
        <w:rPr>
          <w:noProof/>
        </w:rPr>
        <w:t xml:space="preserve"> Versuchsdurchführung V3</w:t>
      </w:r>
    </w:p>
    <w:p w:rsidR="00B85149" w:rsidRDefault="00B85149" w:rsidP="00B85149">
      <w:pPr>
        <w:spacing w:after="0"/>
      </w:pPr>
      <w:r>
        <w:rPr>
          <w:noProof/>
          <w:lang w:eastAsia="de-DE"/>
        </w:rPr>
        <w:drawing>
          <wp:inline distT="0" distB="0" distL="0" distR="0" wp14:anchorId="061B5C07" wp14:editId="62A61DC8">
            <wp:extent cx="3760631" cy="2485622"/>
            <wp:effectExtent l="0" t="0" r="0" b="0"/>
            <wp:docPr id="98" name="Grafi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29.jpg"/>
                    <pic:cNvPicPr/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1" r="20134" b="23211"/>
                    <a:stretch/>
                  </pic:blipFill>
                  <pic:spPr bwMode="auto">
                    <a:xfrm>
                      <a:off x="0" y="0"/>
                      <a:ext cx="3763155" cy="2487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149" w:rsidRDefault="00B85149" w:rsidP="00B85149">
      <w:pPr>
        <w:spacing w:after="0" w:line="240" w:lineRule="auto"/>
        <w:rPr>
          <w:sz w:val="18"/>
        </w:rPr>
      </w:pPr>
      <w:r w:rsidRPr="00D368F8">
        <w:rPr>
          <w:sz w:val="18"/>
        </w:rPr>
        <w:t xml:space="preserve">Abb. 10 </w:t>
      </w:r>
      <w:r>
        <w:rPr>
          <w:sz w:val="18"/>
        </w:rPr>
        <w:t>–</w:t>
      </w:r>
      <w:r w:rsidRPr="00D368F8">
        <w:rPr>
          <w:sz w:val="18"/>
        </w:rPr>
        <w:t xml:space="preserve"> </w:t>
      </w:r>
      <w:r>
        <w:rPr>
          <w:sz w:val="18"/>
        </w:rPr>
        <w:t>Beobachtung V3: Vor dem Versuch: alle Lösungen haben die gleiche</w:t>
      </w:r>
    </w:p>
    <w:p w:rsidR="00B85149" w:rsidRDefault="00B85149" w:rsidP="00B85149">
      <w:pPr>
        <w:spacing w:after="0" w:line="240" w:lineRule="auto"/>
        <w:rPr>
          <w:sz w:val="18"/>
        </w:rPr>
      </w:pPr>
      <w:r>
        <w:rPr>
          <w:sz w:val="18"/>
        </w:rPr>
        <w:tab/>
        <w:t>Farbe.</w:t>
      </w:r>
    </w:p>
    <w:p w:rsidR="00B85149" w:rsidRDefault="00B85149" w:rsidP="00B85149">
      <w:pPr>
        <w:spacing w:after="0" w:line="240" w:lineRule="auto"/>
        <w:rPr>
          <w:sz w:val="18"/>
        </w:rPr>
      </w:pPr>
    </w:p>
    <w:p w:rsidR="00B85149" w:rsidRPr="00D368F8" w:rsidRDefault="00B85149" w:rsidP="00B85149">
      <w:pPr>
        <w:spacing w:after="0" w:line="240" w:lineRule="auto"/>
        <w:rPr>
          <w:sz w:val="18"/>
        </w:rPr>
      </w:pPr>
    </w:p>
    <w:p w:rsidR="00B85149" w:rsidRDefault="00B85149" w:rsidP="00B85149">
      <w:pPr>
        <w:spacing w:after="0" w:line="240" w:lineRule="auto"/>
      </w:pPr>
      <w:r>
        <w:t xml:space="preserve"> </w:t>
      </w:r>
      <w:r>
        <w:rPr>
          <w:noProof/>
          <w:lang w:eastAsia="de-DE"/>
        </w:rPr>
        <w:drawing>
          <wp:inline distT="0" distB="0" distL="0" distR="0" wp14:anchorId="19D17D10" wp14:editId="14B780DE">
            <wp:extent cx="3924848" cy="2143424"/>
            <wp:effectExtent l="0" t="0" r="0" b="9525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C38B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49" w:rsidRPr="00DB6812" w:rsidRDefault="00B85149" w:rsidP="00B85149">
      <w:pPr>
        <w:spacing w:after="0" w:line="240" w:lineRule="auto"/>
        <w:rPr>
          <w:sz w:val="18"/>
        </w:rPr>
      </w:pPr>
    </w:p>
    <w:p w:rsidR="00B85149" w:rsidRDefault="00B85149" w:rsidP="00B85149">
      <w:pPr>
        <w:spacing w:after="0" w:line="240" w:lineRule="auto"/>
        <w:rPr>
          <w:sz w:val="18"/>
        </w:rPr>
      </w:pPr>
      <w:r w:rsidRPr="00DB6812">
        <w:rPr>
          <w:sz w:val="18"/>
        </w:rPr>
        <w:t xml:space="preserve">Abb. 11 – Beobachtung V4: Nach dem Versuch: </w:t>
      </w:r>
      <w:r>
        <w:rPr>
          <w:sz w:val="18"/>
        </w:rPr>
        <w:t xml:space="preserve">Bei weiterer Zugabe der Ausgangsstoffe entsteht mehr Produkt – die  </w:t>
      </w:r>
    </w:p>
    <w:p w:rsidR="00B85149" w:rsidRDefault="00B85149" w:rsidP="00B85149">
      <w:pPr>
        <w:spacing w:after="0"/>
        <w:rPr>
          <w:sz w:val="18"/>
        </w:rPr>
      </w:pPr>
      <w:r>
        <w:rPr>
          <w:sz w:val="18"/>
        </w:rPr>
        <w:t xml:space="preserve">  </w:t>
      </w:r>
      <w:r>
        <w:rPr>
          <w:sz w:val="18"/>
        </w:rPr>
        <w:tab/>
        <w:t xml:space="preserve"> Ausgangslösung unterscheidet sich von den anderen beiden Lösungen.</w:t>
      </w:r>
    </w:p>
    <w:p w:rsidR="00B85149" w:rsidRPr="00DB6812" w:rsidRDefault="00B85149" w:rsidP="00B85149">
      <w:pPr>
        <w:spacing w:after="0"/>
        <w:rPr>
          <w:sz w:val="18"/>
        </w:rPr>
      </w:pPr>
    </w:p>
    <w:p w:rsidR="00B85149" w:rsidRDefault="00B85149" w:rsidP="00B85149">
      <w:pPr>
        <w:tabs>
          <w:tab w:val="left" w:pos="1701"/>
        </w:tabs>
        <w:ind w:left="1701" w:hanging="1701"/>
      </w:pPr>
      <w:r>
        <w:t>Deutung:</w:t>
      </w:r>
      <w:r>
        <w:tab/>
        <w:t xml:space="preserve">Obwohl die Stoffmengenverhältnisse für eine vollständige Reaktion ausgelegt sind, liegen offenbar noch Ausgangsstoffe in der Lösung vor, denn bei weiterer </w:t>
      </w:r>
      <w:r>
        <w:lastRenderedPageBreak/>
        <w:t>Zugabe von Ionen entsteht mehr vom tiefroten Produkt, wie die Farbverti</w:t>
      </w:r>
      <w:r>
        <w:t>e</w:t>
      </w:r>
      <w:r>
        <w:t>fung beweist.</w:t>
      </w:r>
      <w:r>
        <w:tab/>
      </w:r>
    </w:p>
    <w:p w:rsidR="00B85149" w:rsidRDefault="00B85149" w:rsidP="00B85149">
      <w:pPr>
        <w:tabs>
          <w:tab w:val="left" w:pos="1701"/>
          <w:tab w:val="left" w:pos="1985"/>
        </w:tabs>
        <w:ind w:left="1980" w:hanging="1980"/>
      </w:pPr>
      <w:r>
        <w:tab/>
        <w:t>Folgende Reaktion läuft ab:</w:t>
      </w:r>
    </w:p>
    <w:p w:rsidR="00B85149" w:rsidRDefault="00B85149" w:rsidP="00B85149">
      <w:pPr>
        <w:tabs>
          <w:tab w:val="left" w:pos="1701"/>
          <w:tab w:val="left" w:pos="1985"/>
          <w:tab w:val="left" w:pos="2655"/>
        </w:tabs>
        <w:spacing w:after="0"/>
        <w:ind w:left="1980" w:hanging="1980"/>
      </w:pPr>
      <w:r>
        <w:tab/>
        <w:t>Fe</w:t>
      </w:r>
      <w:r w:rsidRPr="00B62B7B">
        <w:rPr>
          <w:vertAlign w:val="superscript"/>
        </w:rPr>
        <w:t>3+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+ 3 SCN</w:t>
      </w:r>
      <w:r w:rsidRPr="00B62B7B"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⇌  </w:t>
      </w:r>
      <w:proofErr w:type="spellStart"/>
      <w:r>
        <w:t>Fe</w:t>
      </w:r>
      <w:proofErr w:type="spellEnd"/>
      <w:r>
        <w:t>(SCN)</w:t>
      </w:r>
      <w:r w:rsidRPr="00B62B7B">
        <w:rPr>
          <w:vertAlign w:val="subscript"/>
        </w:rPr>
        <w:t>3(</w:t>
      </w:r>
      <w:proofErr w:type="spellStart"/>
      <w:r w:rsidRPr="00B62B7B">
        <w:rPr>
          <w:vertAlign w:val="subscript"/>
        </w:rPr>
        <w:t>aq</w:t>
      </w:r>
      <w:proofErr w:type="spellEnd"/>
      <w:r w:rsidRPr="00B62B7B">
        <w:rPr>
          <w:vertAlign w:val="subscript"/>
        </w:rPr>
        <w:t>)</w:t>
      </w:r>
      <w:r>
        <w:tab/>
      </w:r>
    </w:p>
    <w:p w:rsidR="00B85149" w:rsidRDefault="00B85149" w:rsidP="00B85149">
      <w:pPr>
        <w:tabs>
          <w:tab w:val="left" w:pos="1701"/>
          <w:tab w:val="left" w:pos="1985"/>
          <w:tab w:val="left" w:pos="2655"/>
        </w:tabs>
        <w:ind w:left="1980" w:hanging="1980"/>
      </w:pPr>
      <w:r>
        <w:tab/>
        <w:t>(gelb)</w:t>
      </w:r>
      <w:r>
        <w:tab/>
        <w:t>(farblos)      (dunkelrot)</w:t>
      </w:r>
    </w:p>
    <w:p w:rsidR="00B85149" w:rsidRDefault="00B85149" w:rsidP="00B85149">
      <w:pPr>
        <w:tabs>
          <w:tab w:val="left" w:pos="1701"/>
          <w:tab w:val="left" w:pos="2655"/>
        </w:tabs>
        <w:ind w:left="1701" w:hanging="1701"/>
      </w:pPr>
      <w:r>
        <w:tab/>
        <w:t>Die Reaktion verläuft nicht vollständig, in der Lösung liegt ein Gleichgewicht aus Edukten und Produkten vor.</w:t>
      </w:r>
    </w:p>
    <w:p w:rsidR="00B85149" w:rsidRDefault="00B85149" w:rsidP="00B85149">
      <w:pPr>
        <w:tabs>
          <w:tab w:val="left" w:pos="1701"/>
          <w:tab w:val="left" w:pos="2655"/>
        </w:tabs>
        <w:ind w:left="1701" w:hanging="1701"/>
      </w:pPr>
      <w:r>
        <w:t>Entsorgung:</w:t>
      </w:r>
      <w:r>
        <w:tab/>
        <w:t>Die Lösungen gehören in den Schwermetallabfall.</w:t>
      </w:r>
    </w:p>
    <w:p w:rsidR="00B85149" w:rsidRPr="005B60E3" w:rsidRDefault="00B85149" w:rsidP="00B85149">
      <w:pPr>
        <w:tabs>
          <w:tab w:val="left" w:pos="1701"/>
          <w:tab w:val="left" w:pos="1985"/>
        </w:tabs>
        <w:ind w:left="1980" w:hanging="198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tab/>
      </w:r>
      <w:r>
        <w:rPr>
          <w:color w:val="1F497D" w:themeColor="text2"/>
        </w:rPr>
        <w:t xml:space="preserve">Hoffmeister, Holger, </w:t>
      </w:r>
      <w:r w:rsidRPr="00854E23">
        <w:rPr>
          <w:color w:val="1F497D" w:themeColor="text2"/>
        </w:rPr>
        <w:t>http://www.hoffmeister.it/chemie/19-das_chemische</w:t>
      </w:r>
      <w:r>
        <w:rPr>
          <w:color w:val="1F497D" w:themeColor="text2"/>
        </w:rPr>
        <w:t xml:space="preserve"> </w:t>
      </w:r>
      <w:r w:rsidRPr="00854E23">
        <w:rPr>
          <w:color w:val="1F497D" w:themeColor="text2"/>
        </w:rPr>
        <w:t>_gleichgewicht.pdf</w:t>
      </w:r>
      <w:r>
        <w:rPr>
          <w:color w:val="1F497D" w:themeColor="text2"/>
        </w:rPr>
        <w:t xml:space="preserve"> (Zuletzt aufgerufen am 07.08.2013 um 11:16 Uhr), S. 5.</w:t>
      </w:r>
    </w:p>
    <w:p w:rsidR="00B85149" w:rsidRDefault="00B85149" w:rsidP="00B85149">
      <w:pPr>
        <w:tabs>
          <w:tab w:val="left" w:pos="1701"/>
          <w:tab w:val="left" w:pos="1985"/>
        </w:tabs>
        <w:ind w:left="1980" w:hanging="1980"/>
      </w:pPr>
    </w:p>
    <w:p w:rsidR="00B85149" w:rsidRPr="006E32AF" w:rsidRDefault="00B85149" w:rsidP="00B85149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ED78503" wp14:editId="0D169F0E">
                <wp:extent cx="5873115" cy="1028700"/>
                <wp:effectExtent l="0" t="0" r="13335" b="19050"/>
                <wp:docPr id="7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028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5149" w:rsidRPr="000D10FB" w:rsidRDefault="00B85149" w:rsidP="00B8514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U</w:t>
                            </w:r>
                            <w:r w:rsidRPr="000D10FB">
                              <w:rPr>
                                <w:b/>
                                <w:color w:val="1F497D" w:themeColor="text2"/>
                              </w:rPr>
                              <w:t xml:space="preserve">nterrichtsanschlüsse </w:t>
                            </w:r>
                            <w:r>
                              <w:rPr>
                                <w:color w:val="1F497D" w:themeColor="text2"/>
                              </w:rPr>
                              <w:t>Dieser Versuch eignet sich gut als Einstieg in die Einheit, denn hier wird das Phänomen der Gleichgewichtsreaktion sehr deutlich. Die Beobachtung, dass bei we</w:t>
                            </w:r>
                            <w:r>
                              <w:rPr>
                                <w:color w:val="1F497D" w:themeColor="text2"/>
                              </w:rPr>
                              <w:t>i</w:t>
                            </w:r>
                            <w:r>
                              <w:rPr>
                                <w:color w:val="1F497D" w:themeColor="text2"/>
                              </w:rPr>
                              <w:t>terer Zugabe eines Edukts mehr Produkt entsteht, lässt nur die Deutung zu, dass noch Edukte vorliegen, nicht nur Produkte, dass also ein Gleichgewicht vorliegen muss.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7" o:spid="_x0000_s1027" type="#_x0000_t202" style="width:462.4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" fillcolor="white [3201]" strokecolor="#c0504d [3205]" strokeweight="1pt">
                <v:stroke dashstyle="dash"/>
                <v:shadow color="#868686"/>
                <v:textbox>
                  <w:txbxContent>
                    <w:p w:rsidR="00B85149" w:rsidRPr="000D10FB" w:rsidRDefault="00B85149" w:rsidP="00B8514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U</w:t>
                      </w:r>
                      <w:r w:rsidRPr="000D10FB">
                        <w:rPr>
                          <w:b/>
                          <w:color w:val="1F497D" w:themeColor="text2"/>
                        </w:rPr>
                        <w:t xml:space="preserve">nterrichtsanschlüsse </w:t>
                      </w:r>
                      <w:r>
                        <w:rPr>
                          <w:color w:val="1F497D" w:themeColor="text2"/>
                        </w:rPr>
                        <w:t>Dieser Versuch eignet sich gut als Einstieg in die Einheit, denn hier wird das Phänomen der Gleichgewichtsreaktion sehr deutlich. Die Beobachtung, dass bei we</w:t>
                      </w:r>
                      <w:r>
                        <w:rPr>
                          <w:color w:val="1F497D" w:themeColor="text2"/>
                        </w:rPr>
                        <w:t>i</w:t>
                      </w:r>
                      <w:r>
                        <w:rPr>
                          <w:color w:val="1F497D" w:themeColor="text2"/>
                        </w:rPr>
                        <w:t>terer Zugabe eines Edukts mehr Produkt entsteht, lässt nur die Deutung zu, dass noch Edukte vorliegen, nicht nur Produkte, dass also ein Gleichgewicht vorliegen muss.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6C4E" w:rsidRDefault="00146C4E"/>
    <w:sectPr w:rsidR="00146C4E">
      <w:head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A6" w:rsidRDefault="000B0AA6" w:rsidP="00B85149">
      <w:pPr>
        <w:spacing w:after="0" w:line="240" w:lineRule="auto"/>
      </w:pPr>
      <w:r>
        <w:separator/>
      </w:r>
    </w:p>
  </w:endnote>
  <w:endnote w:type="continuationSeparator" w:id="0">
    <w:p w:rsidR="000B0AA6" w:rsidRDefault="000B0AA6" w:rsidP="00B8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A6" w:rsidRDefault="000B0AA6" w:rsidP="00B85149">
      <w:pPr>
        <w:spacing w:after="0" w:line="240" w:lineRule="auto"/>
      </w:pPr>
      <w:r>
        <w:separator/>
      </w:r>
    </w:p>
  </w:footnote>
  <w:footnote w:type="continuationSeparator" w:id="0">
    <w:p w:rsidR="000B0AA6" w:rsidRDefault="000B0AA6" w:rsidP="00B85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25392"/>
      <w:docPartObj>
        <w:docPartGallery w:val="Page Numbers (Top of Page)"/>
        <w:docPartUnique/>
      </w:docPartObj>
    </w:sdtPr>
    <w:sdtContent>
      <w:p w:rsidR="00B85149" w:rsidRDefault="00B85149" w:rsidP="00B85149">
        <w:pPr>
          <w:pStyle w:val="Kopfzeile"/>
        </w:pPr>
        <w:r>
          <w:t xml:space="preserve">V3 – Einführungsversuch: Bildung von </w:t>
        </w:r>
        <w:proofErr w:type="spellStart"/>
        <w:r>
          <w:t>Eisenthiocyanat</w:t>
        </w:r>
        <w:proofErr w:type="spellEnd"/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5149" w:rsidRDefault="00B8514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49"/>
    <w:rsid w:val="000065FE"/>
    <w:rsid w:val="000130BD"/>
    <w:rsid w:val="00014773"/>
    <w:rsid w:val="00015ECF"/>
    <w:rsid w:val="000238FF"/>
    <w:rsid w:val="000256FC"/>
    <w:rsid w:val="00026241"/>
    <w:rsid w:val="00046EAC"/>
    <w:rsid w:val="000514E2"/>
    <w:rsid w:val="00056674"/>
    <w:rsid w:val="00061FAA"/>
    <w:rsid w:val="00065A21"/>
    <w:rsid w:val="000819D1"/>
    <w:rsid w:val="00081FB2"/>
    <w:rsid w:val="000858DE"/>
    <w:rsid w:val="00090161"/>
    <w:rsid w:val="00090955"/>
    <w:rsid w:val="00094A4E"/>
    <w:rsid w:val="0009613F"/>
    <w:rsid w:val="000A0B6E"/>
    <w:rsid w:val="000A20EE"/>
    <w:rsid w:val="000A52E2"/>
    <w:rsid w:val="000A5DD9"/>
    <w:rsid w:val="000B0AA6"/>
    <w:rsid w:val="000B52A4"/>
    <w:rsid w:val="000D0C15"/>
    <w:rsid w:val="000D4224"/>
    <w:rsid w:val="000E3AAB"/>
    <w:rsid w:val="000F7F0D"/>
    <w:rsid w:val="00100809"/>
    <w:rsid w:val="00107FD0"/>
    <w:rsid w:val="00112C34"/>
    <w:rsid w:val="001171D0"/>
    <w:rsid w:val="00126483"/>
    <w:rsid w:val="001308A9"/>
    <w:rsid w:val="00131784"/>
    <w:rsid w:val="0013533E"/>
    <w:rsid w:val="00145173"/>
    <w:rsid w:val="00146C4E"/>
    <w:rsid w:val="00153C0E"/>
    <w:rsid w:val="00153D0C"/>
    <w:rsid w:val="00163072"/>
    <w:rsid w:val="0016439B"/>
    <w:rsid w:val="001751B1"/>
    <w:rsid w:val="00175932"/>
    <w:rsid w:val="00182888"/>
    <w:rsid w:val="00186020"/>
    <w:rsid w:val="00190650"/>
    <w:rsid w:val="001926F5"/>
    <w:rsid w:val="001A17C8"/>
    <w:rsid w:val="001A26B9"/>
    <w:rsid w:val="001A5633"/>
    <w:rsid w:val="001A5F07"/>
    <w:rsid w:val="001A5FBD"/>
    <w:rsid w:val="001B293E"/>
    <w:rsid w:val="001E6118"/>
    <w:rsid w:val="00232568"/>
    <w:rsid w:val="00236E56"/>
    <w:rsid w:val="00250DB5"/>
    <w:rsid w:val="00252BB1"/>
    <w:rsid w:val="00254EC4"/>
    <w:rsid w:val="002561B3"/>
    <w:rsid w:val="00257564"/>
    <w:rsid w:val="00257BB1"/>
    <w:rsid w:val="00264ED4"/>
    <w:rsid w:val="00274BA6"/>
    <w:rsid w:val="002858D4"/>
    <w:rsid w:val="00293B1B"/>
    <w:rsid w:val="0029481A"/>
    <w:rsid w:val="002A6B1D"/>
    <w:rsid w:val="002B66CC"/>
    <w:rsid w:val="002C082D"/>
    <w:rsid w:val="002C26B4"/>
    <w:rsid w:val="002D021D"/>
    <w:rsid w:val="002D10AA"/>
    <w:rsid w:val="002D2651"/>
    <w:rsid w:val="002D4F67"/>
    <w:rsid w:val="002D52E4"/>
    <w:rsid w:val="002D5BE2"/>
    <w:rsid w:val="002E7AFF"/>
    <w:rsid w:val="002F1E33"/>
    <w:rsid w:val="003003CE"/>
    <w:rsid w:val="003022F6"/>
    <w:rsid w:val="00312138"/>
    <w:rsid w:val="00321409"/>
    <w:rsid w:val="00326ABC"/>
    <w:rsid w:val="003275B8"/>
    <w:rsid w:val="00343F5A"/>
    <w:rsid w:val="003603F7"/>
    <w:rsid w:val="00362B9A"/>
    <w:rsid w:val="00375F5E"/>
    <w:rsid w:val="0038541D"/>
    <w:rsid w:val="00386A3B"/>
    <w:rsid w:val="00392BA6"/>
    <w:rsid w:val="0039351B"/>
    <w:rsid w:val="003A0C84"/>
    <w:rsid w:val="003A0E6B"/>
    <w:rsid w:val="003B0D87"/>
    <w:rsid w:val="003B1C5F"/>
    <w:rsid w:val="003D0DFB"/>
    <w:rsid w:val="003D46ED"/>
    <w:rsid w:val="003D5536"/>
    <w:rsid w:val="003D62CB"/>
    <w:rsid w:val="003E57FD"/>
    <w:rsid w:val="003E62F3"/>
    <w:rsid w:val="003E6585"/>
    <w:rsid w:val="003F26F3"/>
    <w:rsid w:val="003F7A7A"/>
    <w:rsid w:val="0040359F"/>
    <w:rsid w:val="00403ACC"/>
    <w:rsid w:val="0041518A"/>
    <w:rsid w:val="00434027"/>
    <w:rsid w:val="00450352"/>
    <w:rsid w:val="0045171D"/>
    <w:rsid w:val="00456F78"/>
    <w:rsid w:val="004572F9"/>
    <w:rsid w:val="00460229"/>
    <w:rsid w:val="00463827"/>
    <w:rsid w:val="00472E25"/>
    <w:rsid w:val="00483430"/>
    <w:rsid w:val="004868B9"/>
    <w:rsid w:val="004953A2"/>
    <w:rsid w:val="004A0B18"/>
    <w:rsid w:val="004A698B"/>
    <w:rsid w:val="004B00F8"/>
    <w:rsid w:val="004C20DA"/>
    <w:rsid w:val="004C3B11"/>
    <w:rsid w:val="004D0448"/>
    <w:rsid w:val="004D11C5"/>
    <w:rsid w:val="004D2A8A"/>
    <w:rsid w:val="004D44BF"/>
    <w:rsid w:val="004D4681"/>
    <w:rsid w:val="004E4097"/>
    <w:rsid w:val="00502AF6"/>
    <w:rsid w:val="0050732C"/>
    <w:rsid w:val="00517B77"/>
    <w:rsid w:val="00524FD9"/>
    <w:rsid w:val="00525D63"/>
    <w:rsid w:val="0052675B"/>
    <w:rsid w:val="00532503"/>
    <w:rsid w:val="005367B5"/>
    <w:rsid w:val="00536A81"/>
    <w:rsid w:val="00546CE2"/>
    <w:rsid w:val="005500BF"/>
    <w:rsid w:val="005715EA"/>
    <w:rsid w:val="00574D42"/>
    <w:rsid w:val="00587415"/>
    <w:rsid w:val="005972C6"/>
    <w:rsid w:val="005B45BA"/>
    <w:rsid w:val="005B4B2A"/>
    <w:rsid w:val="005C1916"/>
    <w:rsid w:val="005C20C5"/>
    <w:rsid w:val="005C38A8"/>
    <w:rsid w:val="005C4EA3"/>
    <w:rsid w:val="005D167D"/>
    <w:rsid w:val="005E6A5A"/>
    <w:rsid w:val="005E7449"/>
    <w:rsid w:val="005E7743"/>
    <w:rsid w:val="005F289D"/>
    <w:rsid w:val="005F4081"/>
    <w:rsid w:val="00600BC8"/>
    <w:rsid w:val="0061374D"/>
    <w:rsid w:val="00614338"/>
    <w:rsid w:val="006149BF"/>
    <w:rsid w:val="00615F9E"/>
    <w:rsid w:val="00616F69"/>
    <w:rsid w:val="0062310E"/>
    <w:rsid w:val="006278DC"/>
    <w:rsid w:val="00633B59"/>
    <w:rsid w:val="006346E0"/>
    <w:rsid w:val="00643C2E"/>
    <w:rsid w:val="0064416F"/>
    <w:rsid w:val="00644FED"/>
    <w:rsid w:val="00646978"/>
    <w:rsid w:val="00652ADA"/>
    <w:rsid w:val="00655F38"/>
    <w:rsid w:val="00656DEF"/>
    <w:rsid w:val="006637F2"/>
    <w:rsid w:val="00672764"/>
    <w:rsid w:val="0067315E"/>
    <w:rsid w:val="00675FC1"/>
    <w:rsid w:val="00681DFC"/>
    <w:rsid w:val="00686CCE"/>
    <w:rsid w:val="006949F5"/>
    <w:rsid w:val="006A1E0A"/>
    <w:rsid w:val="006A3130"/>
    <w:rsid w:val="006B00BD"/>
    <w:rsid w:val="006B055B"/>
    <w:rsid w:val="006B1F87"/>
    <w:rsid w:val="006C3FDF"/>
    <w:rsid w:val="006C4258"/>
    <w:rsid w:val="006D20AF"/>
    <w:rsid w:val="006F080B"/>
    <w:rsid w:val="006F3250"/>
    <w:rsid w:val="006F5A20"/>
    <w:rsid w:val="00705979"/>
    <w:rsid w:val="00712BC2"/>
    <w:rsid w:val="00720104"/>
    <w:rsid w:val="00720EFC"/>
    <w:rsid w:val="00731495"/>
    <w:rsid w:val="00734840"/>
    <w:rsid w:val="00740B3E"/>
    <w:rsid w:val="007454AB"/>
    <w:rsid w:val="00750E76"/>
    <w:rsid w:val="007550A5"/>
    <w:rsid w:val="007635B2"/>
    <w:rsid w:val="00776DEB"/>
    <w:rsid w:val="007859EE"/>
    <w:rsid w:val="0078741F"/>
    <w:rsid w:val="00787779"/>
    <w:rsid w:val="0079294C"/>
    <w:rsid w:val="0079482A"/>
    <w:rsid w:val="007A2261"/>
    <w:rsid w:val="007A58B5"/>
    <w:rsid w:val="007A60BF"/>
    <w:rsid w:val="007A611E"/>
    <w:rsid w:val="007B3D0F"/>
    <w:rsid w:val="007C2056"/>
    <w:rsid w:val="007D08C5"/>
    <w:rsid w:val="007E59AE"/>
    <w:rsid w:val="007E7771"/>
    <w:rsid w:val="007F116D"/>
    <w:rsid w:val="007F3556"/>
    <w:rsid w:val="00800FC7"/>
    <w:rsid w:val="00802CB7"/>
    <w:rsid w:val="008064E5"/>
    <w:rsid w:val="00811BAA"/>
    <w:rsid w:val="008337CD"/>
    <w:rsid w:val="00836D12"/>
    <w:rsid w:val="008579AE"/>
    <w:rsid w:val="00864BD1"/>
    <w:rsid w:val="00867A30"/>
    <w:rsid w:val="008708AB"/>
    <w:rsid w:val="00874F9E"/>
    <w:rsid w:val="00877FBA"/>
    <w:rsid w:val="00883E0B"/>
    <w:rsid w:val="00886926"/>
    <w:rsid w:val="008901CF"/>
    <w:rsid w:val="0089108A"/>
    <w:rsid w:val="008911BD"/>
    <w:rsid w:val="008A2E38"/>
    <w:rsid w:val="008B6713"/>
    <w:rsid w:val="008C0EB5"/>
    <w:rsid w:val="008C2388"/>
    <w:rsid w:val="008D00EC"/>
    <w:rsid w:val="008D2B64"/>
    <w:rsid w:val="008D3581"/>
    <w:rsid w:val="0090293C"/>
    <w:rsid w:val="00912028"/>
    <w:rsid w:val="009353C3"/>
    <w:rsid w:val="009411FC"/>
    <w:rsid w:val="00944C16"/>
    <w:rsid w:val="0094711B"/>
    <w:rsid w:val="00952959"/>
    <w:rsid w:val="0095629A"/>
    <w:rsid w:val="00960044"/>
    <w:rsid w:val="00960DE8"/>
    <w:rsid w:val="00976827"/>
    <w:rsid w:val="00977098"/>
    <w:rsid w:val="009812BB"/>
    <w:rsid w:val="00982A9A"/>
    <w:rsid w:val="00983B3A"/>
    <w:rsid w:val="009B7964"/>
    <w:rsid w:val="009C650F"/>
    <w:rsid w:val="009D1431"/>
    <w:rsid w:val="009D4A00"/>
    <w:rsid w:val="009D71C6"/>
    <w:rsid w:val="009E5644"/>
    <w:rsid w:val="009E7609"/>
    <w:rsid w:val="009F043B"/>
    <w:rsid w:val="009F3E13"/>
    <w:rsid w:val="009F5671"/>
    <w:rsid w:val="009F77BA"/>
    <w:rsid w:val="009F79A8"/>
    <w:rsid w:val="00A038D7"/>
    <w:rsid w:val="00A10603"/>
    <w:rsid w:val="00A1701B"/>
    <w:rsid w:val="00A2200B"/>
    <w:rsid w:val="00A22EB6"/>
    <w:rsid w:val="00A24303"/>
    <w:rsid w:val="00A359FD"/>
    <w:rsid w:val="00A3747E"/>
    <w:rsid w:val="00A42DC0"/>
    <w:rsid w:val="00A5155A"/>
    <w:rsid w:val="00A5219F"/>
    <w:rsid w:val="00A600AD"/>
    <w:rsid w:val="00A65F6F"/>
    <w:rsid w:val="00A74ABC"/>
    <w:rsid w:val="00A8632D"/>
    <w:rsid w:val="00A91C01"/>
    <w:rsid w:val="00AA0E4F"/>
    <w:rsid w:val="00AA2EF2"/>
    <w:rsid w:val="00AA47FE"/>
    <w:rsid w:val="00AB3279"/>
    <w:rsid w:val="00AB4346"/>
    <w:rsid w:val="00AB70D4"/>
    <w:rsid w:val="00AC4CE3"/>
    <w:rsid w:val="00AD2ECE"/>
    <w:rsid w:val="00AD3400"/>
    <w:rsid w:val="00AD6D93"/>
    <w:rsid w:val="00AD6D9C"/>
    <w:rsid w:val="00AF1ABC"/>
    <w:rsid w:val="00AF6015"/>
    <w:rsid w:val="00AF69DC"/>
    <w:rsid w:val="00B13B72"/>
    <w:rsid w:val="00B2463B"/>
    <w:rsid w:val="00B24F91"/>
    <w:rsid w:val="00B25C5E"/>
    <w:rsid w:val="00B30CE1"/>
    <w:rsid w:val="00B3129E"/>
    <w:rsid w:val="00B46297"/>
    <w:rsid w:val="00B50599"/>
    <w:rsid w:val="00B517A7"/>
    <w:rsid w:val="00B6334F"/>
    <w:rsid w:val="00B67771"/>
    <w:rsid w:val="00B70225"/>
    <w:rsid w:val="00B74C8F"/>
    <w:rsid w:val="00B85149"/>
    <w:rsid w:val="00B95596"/>
    <w:rsid w:val="00BA3AD3"/>
    <w:rsid w:val="00BB1642"/>
    <w:rsid w:val="00BB26DE"/>
    <w:rsid w:val="00BD2513"/>
    <w:rsid w:val="00BD300F"/>
    <w:rsid w:val="00BD52BD"/>
    <w:rsid w:val="00BD6542"/>
    <w:rsid w:val="00BD706B"/>
    <w:rsid w:val="00BD708D"/>
    <w:rsid w:val="00BD75CB"/>
    <w:rsid w:val="00BE6511"/>
    <w:rsid w:val="00BF005A"/>
    <w:rsid w:val="00BF2F49"/>
    <w:rsid w:val="00BF5B21"/>
    <w:rsid w:val="00C1277A"/>
    <w:rsid w:val="00C127CE"/>
    <w:rsid w:val="00C17325"/>
    <w:rsid w:val="00C20464"/>
    <w:rsid w:val="00C20DE9"/>
    <w:rsid w:val="00C23EEB"/>
    <w:rsid w:val="00C24401"/>
    <w:rsid w:val="00C343DD"/>
    <w:rsid w:val="00C35D69"/>
    <w:rsid w:val="00C43ECB"/>
    <w:rsid w:val="00C4478D"/>
    <w:rsid w:val="00C454E6"/>
    <w:rsid w:val="00C45EFB"/>
    <w:rsid w:val="00C557D7"/>
    <w:rsid w:val="00C55FE4"/>
    <w:rsid w:val="00C574B8"/>
    <w:rsid w:val="00C6202A"/>
    <w:rsid w:val="00C63B8E"/>
    <w:rsid w:val="00C75562"/>
    <w:rsid w:val="00C80B4E"/>
    <w:rsid w:val="00C9024B"/>
    <w:rsid w:val="00C93831"/>
    <w:rsid w:val="00CA1589"/>
    <w:rsid w:val="00CA2B8D"/>
    <w:rsid w:val="00CA7047"/>
    <w:rsid w:val="00CB6E09"/>
    <w:rsid w:val="00CB774D"/>
    <w:rsid w:val="00CD29DF"/>
    <w:rsid w:val="00CD75B6"/>
    <w:rsid w:val="00CE446E"/>
    <w:rsid w:val="00CE55C7"/>
    <w:rsid w:val="00D11130"/>
    <w:rsid w:val="00D16090"/>
    <w:rsid w:val="00D22426"/>
    <w:rsid w:val="00D24119"/>
    <w:rsid w:val="00D26791"/>
    <w:rsid w:val="00D26F4A"/>
    <w:rsid w:val="00D3541E"/>
    <w:rsid w:val="00D543D5"/>
    <w:rsid w:val="00D5555A"/>
    <w:rsid w:val="00D557FA"/>
    <w:rsid w:val="00D670DF"/>
    <w:rsid w:val="00D732BE"/>
    <w:rsid w:val="00D81408"/>
    <w:rsid w:val="00D8234C"/>
    <w:rsid w:val="00D90922"/>
    <w:rsid w:val="00D90E92"/>
    <w:rsid w:val="00D91BCD"/>
    <w:rsid w:val="00D922A9"/>
    <w:rsid w:val="00D92645"/>
    <w:rsid w:val="00D97559"/>
    <w:rsid w:val="00DC355A"/>
    <w:rsid w:val="00DC5F2A"/>
    <w:rsid w:val="00DC7C60"/>
    <w:rsid w:val="00DD0F9C"/>
    <w:rsid w:val="00DD2D8D"/>
    <w:rsid w:val="00DE41BF"/>
    <w:rsid w:val="00DF41E7"/>
    <w:rsid w:val="00DF78FA"/>
    <w:rsid w:val="00E1115D"/>
    <w:rsid w:val="00E201D2"/>
    <w:rsid w:val="00E20CF3"/>
    <w:rsid w:val="00E23505"/>
    <w:rsid w:val="00E265CA"/>
    <w:rsid w:val="00E34AED"/>
    <w:rsid w:val="00E359DB"/>
    <w:rsid w:val="00E44204"/>
    <w:rsid w:val="00E44DB9"/>
    <w:rsid w:val="00E4654F"/>
    <w:rsid w:val="00E5009F"/>
    <w:rsid w:val="00E60F76"/>
    <w:rsid w:val="00E63507"/>
    <w:rsid w:val="00E65374"/>
    <w:rsid w:val="00E7582C"/>
    <w:rsid w:val="00E7737E"/>
    <w:rsid w:val="00E83C9C"/>
    <w:rsid w:val="00E864EE"/>
    <w:rsid w:val="00E9129D"/>
    <w:rsid w:val="00E93332"/>
    <w:rsid w:val="00E97C65"/>
    <w:rsid w:val="00EA75B2"/>
    <w:rsid w:val="00EB307F"/>
    <w:rsid w:val="00EB3E66"/>
    <w:rsid w:val="00EB6349"/>
    <w:rsid w:val="00EB699D"/>
    <w:rsid w:val="00EB7419"/>
    <w:rsid w:val="00ED4792"/>
    <w:rsid w:val="00EE131D"/>
    <w:rsid w:val="00EF42E5"/>
    <w:rsid w:val="00EF75DE"/>
    <w:rsid w:val="00F06D05"/>
    <w:rsid w:val="00F118F3"/>
    <w:rsid w:val="00F17175"/>
    <w:rsid w:val="00F23943"/>
    <w:rsid w:val="00F3357E"/>
    <w:rsid w:val="00F33B29"/>
    <w:rsid w:val="00F37AA0"/>
    <w:rsid w:val="00F41D35"/>
    <w:rsid w:val="00F57F6C"/>
    <w:rsid w:val="00F606A8"/>
    <w:rsid w:val="00F64553"/>
    <w:rsid w:val="00F71821"/>
    <w:rsid w:val="00F755C5"/>
    <w:rsid w:val="00F909D6"/>
    <w:rsid w:val="00F9167F"/>
    <w:rsid w:val="00F917E9"/>
    <w:rsid w:val="00FA1162"/>
    <w:rsid w:val="00FA16C2"/>
    <w:rsid w:val="00FA3A10"/>
    <w:rsid w:val="00FA78C0"/>
    <w:rsid w:val="00FB7AE3"/>
    <w:rsid w:val="00FC0D2B"/>
    <w:rsid w:val="00FD16F0"/>
    <w:rsid w:val="00FD594B"/>
    <w:rsid w:val="00FE1AA1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14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514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514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514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514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514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514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514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514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514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514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514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514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51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51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51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51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51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51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85149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149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8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5149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B8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5149"/>
    <w:rPr>
      <w:rFonts w:ascii="Cambria" w:hAnsi="Cambria"/>
      <w:color w:val="1D1B11" w:themeColor="background2" w:themeShade="1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14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514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514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514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514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514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514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514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514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514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514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514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514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51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51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51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51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51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51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85149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149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8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5149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B8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5149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tm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1724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2013-08-13T21:52:00Z</dcterms:created>
  <dcterms:modified xsi:type="dcterms:W3CDTF">2013-08-13T21:53:00Z</dcterms:modified>
</cp:coreProperties>
</file>