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1D" w:rsidRDefault="002F6C1D" w:rsidP="002F6C1D">
      <w:pPr>
        <w:pStyle w:val="berschrift2"/>
        <w:numPr>
          <w:ilvl w:val="0"/>
          <w:numId w:val="0"/>
        </w:numPr>
        <w:ind w:left="576" w:hanging="576"/>
      </w:pPr>
      <w:bookmarkStart w:id="0" w:name="_Toc364200145"/>
      <w:r>
        <w:rPr>
          <w:noProof/>
          <w:lang w:eastAsia="de-DE"/>
        </w:rPr>
        <mc:AlternateContent>
          <mc:Choice Requires="wps">
            <w:drawing>
              <wp:anchor distT="0" distB="0" distL="114300" distR="114300" simplePos="0" relativeHeight="251659264" behindDoc="0" locked="0" layoutInCell="1" allowOverlap="1" wp14:anchorId="3C00D14E" wp14:editId="066A8351">
                <wp:simplePos x="0" y="0"/>
                <wp:positionH relativeFrom="column">
                  <wp:posOffset>-3175</wp:posOffset>
                </wp:positionH>
                <wp:positionV relativeFrom="paragraph">
                  <wp:posOffset>600075</wp:posOffset>
                </wp:positionV>
                <wp:extent cx="5873115" cy="1345565"/>
                <wp:effectExtent l="0" t="0" r="13335" b="26035"/>
                <wp:wrapSquare wrapText="bothSides"/>
                <wp:docPr id="7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4556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6C1D" w:rsidRDefault="002F6C1D" w:rsidP="002F6C1D">
                            <w:pPr>
                              <w:spacing w:after="0"/>
                              <w:rPr>
                                <w:color w:val="1F497D" w:themeColor="text2"/>
                              </w:rPr>
                            </w:pPr>
                            <w:r>
                              <w:rPr>
                                <w:color w:val="1F497D" w:themeColor="text2"/>
                              </w:rPr>
                              <w:t>Bei diesem Versuch geht es um die Temperaturabhängigkeit von Gleichgewichtsreaktionen. Es werden die gleichen Chemikalien verwendet wie in V3, sodass die Konzentration von Edukten und Produkten durch die Färbungen der Lösungen zu erkennen ist.</w:t>
                            </w:r>
                          </w:p>
                          <w:p w:rsidR="002F6C1D" w:rsidRPr="000D10FB" w:rsidRDefault="002F6C1D" w:rsidP="002F6C1D">
                            <w:pPr>
                              <w:rPr>
                                <w:color w:val="1F497D" w:themeColor="text2"/>
                              </w:rPr>
                            </w:pPr>
                            <w:r>
                              <w:rPr>
                                <w:color w:val="1F497D" w:themeColor="text2"/>
                              </w:rPr>
                              <w:t>Durch den Versuch wird deutlich, dass durch Temperaturveränderungen entweder die Hin- oder die Rückreaktion eines Gleichgewichtes begünstigt werden kann.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6" o:spid="_x0000_s1026" type="#_x0000_t202" style="position:absolute;left:0;text-align:left;margin-left:-.25pt;margin-top:47.25pt;width:462.45pt;height:10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" fillcolor="white [3201]" strokecolor="#4bacc6 [3208]" strokeweight="1pt">
                <v:stroke dashstyle="dash"/>
                <v:shadow color="#868686"/>
                <v:textbox>
                  <w:txbxContent>
                    <w:p w:rsidR="002F6C1D" w:rsidRDefault="002F6C1D" w:rsidP="002F6C1D">
                      <w:pPr>
                        <w:spacing w:after="0"/>
                        <w:rPr>
                          <w:color w:val="1F497D" w:themeColor="text2"/>
                        </w:rPr>
                      </w:pPr>
                      <w:r>
                        <w:rPr>
                          <w:color w:val="1F497D" w:themeColor="text2"/>
                        </w:rPr>
                        <w:t>Bei diesem Versuch geht es um die Temperaturabhängigkeit von Gleichgewichtsreaktionen. Es werden die gleichen Chemikalien verwendet wie in V3, sodass die Konzentration von Edukten und Produkten durch die Färbungen der Lösungen zu erkennen ist.</w:t>
                      </w:r>
                    </w:p>
                    <w:p w:rsidR="002F6C1D" w:rsidRPr="000D10FB" w:rsidRDefault="002F6C1D" w:rsidP="002F6C1D">
                      <w:pPr>
                        <w:rPr>
                          <w:color w:val="1F497D" w:themeColor="text2"/>
                        </w:rPr>
                      </w:pPr>
                      <w:r>
                        <w:rPr>
                          <w:color w:val="1F497D" w:themeColor="text2"/>
                        </w:rPr>
                        <w:t>Durch den Versuch wird deutlich, dass durch Temperaturveränderungen entweder die Hin- oder die Rückreaktion eines Gleichgewichtes begünstigt werden kann.</w:t>
                      </w:r>
                    </w:p>
                  </w:txbxContent>
                </v:textbox>
                <w10:wrap type="square"/>
              </v:shape>
            </w:pict>
          </mc:Fallback>
        </mc:AlternateContent>
      </w:r>
      <w:r>
        <w:t>V 4 – Einfluss der Temperatur auf das chemische Gleichgewicht</w:t>
      </w:r>
      <w:bookmarkEnd w:id="0"/>
    </w:p>
    <w:p w:rsidR="002F6C1D" w:rsidRDefault="002F6C1D" w:rsidP="002F6C1D"/>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F6C1D" w:rsidRPr="009C5E28" w:rsidTr="0022634C">
        <w:tc>
          <w:tcPr>
            <w:tcW w:w="9322" w:type="dxa"/>
            <w:gridSpan w:val="9"/>
            <w:shd w:val="clear" w:color="auto" w:fill="4F81BD"/>
            <w:vAlign w:val="center"/>
          </w:tcPr>
          <w:p w:rsidR="002F6C1D" w:rsidRPr="009C5E28" w:rsidRDefault="002F6C1D" w:rsidP="0022634C">
            <w:pPr>
              <w:spacing w:after="0"/>
              <w:jc w:val="center"/>
              <w:rPr>
                <w:b/>
                <w:bCs/>
              </w:rPr>
            </w:pPr>
            <w:r w:rsidRPr="009C5E28">
              <w:rPr>
                <w:b/>
                <w:bCs/>
              </w:rPr>
              <w:t>Gefahrenstoffe</w:t>
            </w:r>
          </w:p>
        </w:tc>
      </w:tr>
      <w:tr w:rsidR="002F6C1D" w:rsidRPr="009C5E28" w:rsidTr="0022634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F6C1D" w:rsidRPr="009C5E28" w:rsidRDefault="002F6C1D" w:rsidP="0022634C">
            <w:pPr>
              <w:spacing w:after="0" w:line="276" w:lineRule="auto"/>
              <w:jc w:val="center"/>
              <w:rPr>
                <w:b/>
                <w:bCs/>
              </w:rPr>
            </w:pPr>
            <w:r>
              <w:rPr>
                <w:sz w:val="20"/>
              </w:rPr>
              <w:t>Eisen(III)</w:t>
            </w:r>
            <w:proofErr w:type="spellStart"/>
            <w:r>
              <w:rPr>
                <w:sz w:val="20"/>
              </w:rPr>
              <w:t>chlorid</w:t>
            </w:r>
            <w:proofErr w:type="spellEnd"/>
          </w:p>
        </w:tc>
        <w:tc>
          <w:tcPr>
            <w:tcW w:w="3177" w:type="dxa"/>
            <w:gridSpan w:val="3"/>
            <w:tcBorders>
              <w:top w:val="single" w:sz="8" w:space="0" w:color="4F81BD"/>
              <w:bottom w:val="single" w:sz="8" w:space="0" w:color="4F81BD"/>
            </w:tcBorders>
            <w:shd w:val="clear" w:color="auto" w:fill="auto"/>
            <w:vAlign w:val="center"/>
          </w:tcPr>
          <w:p w:rsidR="002F6C1D" w:rsidRPr="009C5E28" w:rsidRDefault="002F6C1D" w:rsidP="0022634C">
            <w:pPr>
              <w:spacing w:after="0"/>
              <w:jc w:val="center"/>
            </w:pPr>
            <w:r w:rsidRPr="009C5E28">
              <w:rPr>
                <w:sz w:val="20"/>
              </w:rPr>
              <w:t xml:space="preserve">H: </w:t>
            </w:r>
            <w:r w:rsidRPr="004524A6">
              <w:rPr>
                <w:sz w:val="20"/>
              </w:rPr>
              <w:t>302-315-318-290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F6C1D" w:rsidRPr="009C5E28" w:rsidRDefault="002F6C1D" w:rsidP="0022634C">
            <w:pPr>
              <w:spacing w:after="0"/>
              <w:jc w:val="center"/>
            </w:pPr>
            <w:r w:rsidRPr="009C5E28">
              <w:rPr>
                <w:sz w:val="20"/>
              </w:rPr>
              <w:t xml:space="preserve">P: </w:t>
            </w:r>
            <w:r w:rsidRPr="004524A6">
              <w:rPr>
                <w:sz w:val="20"/>
              </w:rPr>
              <w:t>28</w:t>
            </w:r>
            <w:r>
              <w:rPr>
                <w:sz w:val="20"/>
              </w:rPr>
              <w:t>0-​302+352-​305+351+338-​313</w:t>
            </w:r>
          </w:p>
        </w:tc>
      </w:tr>
      <w:tr w:rsidR="002F6C1D" w:rsidRPr="009C5E28" w:rsidTr="0022634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F6C1D" w:rsidRDefault="002F6C1D" w:rsidP="0022634C">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2F6C1D" w:rsidRPr="009C5E28" w:rsidRDefault="002F6C1D" w:rsidP="0022634C">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F6C1D" w:rsidRPr="009C5E28" w:rsidRDefault="002F6C1D" w:rsidP="0022634C">
            <w:pPr>
              <w:spacing w:after="0"/>
              <w:jc w:val="center"/>
              <w:rPr>
                <w:sz w:val="20"/>
              </w:rPr>
            </w:pPr>
            <w:r>
              <w:rPr>
                <w:sz w:val="20"/>
              </w:rPr>
              <w:t>P: -</w:t>
            </w:r>
          </w:p>
        </w:tc>
      </w:tr>
      <w:tr w:rsidR="002F6C1D" w:rsidRPr="009C5E28" w:rsidTr="0022634C">
        <w:trPr>
          <w:trHeight w:val="434"/>
        </w:trPr>
        <w:tc>
          <w:tcPr>
            <w:tcW w:w="3027" w:type="dxa"/>
            <w:gridSpan w:val="3"/>
            <w:shd w:val="clear" w:color="auto" w:fill="auto"/>
            <w:vAlign w:val="center"/>
          </w:tcPr>
          <w:p w:rsidR="002F6C1D" w:rsidRPr="009C5E28" w:rsidRDefault="002F6C1D" w:rsidP="0022634C">
            <w:pPr>
              <w:spacing w:after="0" w:line="276" w:lineRule="auto"/>
              <w:jc w:val="center"/>
              <w:rPr>
                <w:bCs/>
                <w:sz w:val="20"/>
              </w:rPr>
            </w:pPr>
            <w:proofErr w:type="spellStart"/>
            <w:r>
              <w:rPr>
                <w:color w:val="auto"/>
                <w:sz w:val="20"/>
                <w:szCs w:val="20"/>
              </w:rPr>
              <w:t>Kaliumthiocyanat</w:t>
            </w:r>
            <w:proofErr w:type="spellEnd"/>
          </w:p>
        </w:tc>
        <w:tc>
          <w:tcPr>
            <w:tcW w:w="3177" w:type="dxa"/>
            <w:gridSpan w:val="3"/>
            <w:shd w:val="clear" w:color="auto" w:fill="auto"/>
            <w:vAlign w:val="center"/>
          </w:tcPr>
          <w:p w:rsidR="002F6C1D" w:rsidRPr="009C5E28" w:rsidRDefault="002F6C1D" w:rsidP="0022634C">
            <w:pPr>
              <w:pStyle w:val="Beschriftung"/>
              <w:spacing w:after="0"/>
              <w:jc w:val="center"/>
              <w:rPr>
                <w:sz w:val="20"/>
              </w:rPr>
            </w:pPr>
            <w:r w:rsidRPr="009C5E28">
              <w:rPr>
                <w:sz w:val="20"/>
              </w:rPr>
              <w:t xml:space="preserve">H: </w:t>
            </w:r>
            <w:r w:rsidRPr="004524A6">
              <w:rPr>
                <w:sz w:val="20"/>
              </w:rPr>
              <w:t>332-312-302-412</w:t>
            </w:r>
          </w:p>
        </w:tc>
        <w:tc>
          <w:tcPr>
            <w:tcW w:w="3118" w:type="dxa"/>
            <w:gridSpan w:val="3"/>
            <w:shd w:val="clear" w:color="auto" w:fill="auto"/>
            <w:vAlign w:val="center"/>
          </w:tcPr>
          <w:p w:rsidR="002F6C1D" w:rsidRPr="009C5E28" w:rsidRDefault="002F6C1D" w:rsidP="0022634C">
            <w:pPr>
              <w:pStyle w:val="Beschriftung"/>
              <w:spacing w:after="0"/>
              <w:jc w:val="center"/>
              <w:rPr>
                <w:sz w:val="20"/>
              </w:rPr>
            </w:pPr>
            <w:r w:rsidRPr="009C5E28">
              <w:rPr>
                <w:sz w:val="20"/>
              </w:rPr>
              <w:t xml:space="preserve">P: </w:t>
            </w:r>
            <w:r>
              <w:rPr>
                <w:sz w:val="20"/>
              </w:rPr>
              <w:t>273-​302+352</w:t>
            </w:r>
          </w:p>
        </w:tc>
      </w:tr>
      <w:tr w:rsidR="002F6C1D" w:rsidRPr="009C5E28" w:rsidTr="0022634C">
        <w:tc>
          <w:tcPr>
            <w:tcW w:w="1009" w:type="dxa"/>
            <w:tcBorders>
              <w:top w:val="single" w:sz="8" w:space="0" w:color="4F81BD"/>
              <w:left w:val="single" w:sz="8" w:space="0" w:color="4F81BD"/>
              <w:bottom w:val="single" w:sz="8" w:space="0" w:color="4F81BD"/>
            </w:tcBorders>
            <w:shd w:val="clear" w:color="auto" w:fill="auto"/>
            <w:vAlign w:val="center"/>
          </w:tcPr>
          <w:p w:rsidR="002F6C1D" w:rsidRPr="009C5E28" w:rsidRDefault="002F6C1D" w:rsidP="0022634C">
            <w:pPr>
              <w:spacing w:after="0"/>
              <w:jc w:val="center"/>
              <w:rPr>
                <w:b/>
                <w:bCs/>
              </w:rPr>
            </w:pPr>
            <w:r>
              <w:rPr>
                <w:b/>
                <w:noProof/>
                <w:lang w:eastAsia="de-DE"/>
              </w:rPr>
              <w:drawing>
                <wp:inline distT="0" distB="0" distL="0" distR="0" wp14:anchorId="79AB266A" wp14:editId="35ED998F">
                  <wp:extent cx="504190" cy="504190"/>
                  <wp:effectExtent l="0" t="0" r="0" b="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6C1D" w:rsidRPr="009C5E28" w:rsidRDefault="002F6C1D" w:rsidP="0022634C">
            <w:pPr>
              <w:spacing w:after="0"/>
              <w:jc w:val="center"/>
            </w:pPr>
            <w:r>
              <w:rPr>
                <w:noProof/>
                <w:lang w:eastAsia="de-DE"/>
              </w:rPr>
              <w:drawing>
                <wp:inline distT="0" distB="0" distL="0" distR="0" wp14:anchorId="7728CFBF" wp14:editId="73B6D98E">
                  <wp:extent cx="504190" cy="504190"/>
                  <wp:effectExtent l="0" t="0" r="0" b="0"/>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6C1D" w:rsidRPr="009C5E28" w:rsidRDefault="002F6C1D" w:rsidP="0022634C">
            <w:pPr>
              <w:spacing w:after="0"/>
              <w:jc w:val="center"/>
            </w:pPr>
            <w:r>
              <w:rPr>
                <w:noProof/>
                <w:lang w:eastAsia="de-DE"/>
              </w:rPr>
              <w:drawing>
                <wp:inline distT="0" distB="0" distL="0" distR="0" wp14:anchorId="48C51080" wp14:editId="4B16D857">
                  <wp:extent cx="504190" cy="504190"/>
                  <wp:effectExtent l="0" t="0" r="0" b="0"/>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6C1D" w:rsidRPr="009C5E28" w:rsidRDefault="002F6C1D" w:rsidP="0022634C">
            <w:pPr>
              <w:spacing w:after="0"/>
              <w:jc w:val="center"/>
            </w:pPr>
            <w:r>
              <w:rPr>
                <w:noProof/>
                <w:lang w:eastAsia="de-DE"/>
              </w:rPr>
              <w:drawing>
                <wp:inline distT="0" distB="0" distL="0" distR="0" wp14:anchorId="46765347" wp14:editId="4465A42F">
                  <wp:extent cx="504190" cy="504190"/>
                  <wp:effectExtent l="0" t="0" r="0" b="0"/>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F6C1D" w:rsidRPr="009C5E28" w:rsidRDefault="002F6C1D" w:rsidP="0022634C">
            <w:pPr>
              <w:spacing w:after="0"/>
              <w:jc w:val="center"/>
            </w:pPr>
            <w:r>
              <w:rPr>
                <w:noProof/>
                <w:lang w:eastAsia="de-DE"/>
              </w:rPr>
              <w:drawing>
                <wp:inline distT="0" distB="0" distL="0" distR="0" wp14:anchorId="0A586D4E" wp14:editId="7D65EEB9">
                  <wp:extent cx="504190" cy="504190"/>
                  <wp:effectExtent l="0" t="0" r="0" b="0"/>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F6C1D" w:rsidRPr="009C5E28" w:rsidRDefault="002F6C1D" w:rsidP="0022634C">
            <w:pPr>
              <w:spacing w:after="0"/>
              <w:jc w:val="center"/>
            </w:pPr>
            <w:r>
              <w:rPr>
                <w:noProof/>
                <w:lang w:eastAsia="de-DE"/>
              </w:rPr>
              <w:drawing>
                <wp:inline distT="0" distB="0" distL="0" distR="0" wp14:anchorId="4A84218C" wp14:editId="4A07D8BE">
                  <wp:extent cx="504190" cy="504190"/>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F6C1D" w:rsidRPr="009C5E28" w:rsidRDefault="002F6C1D" w:rsidP="0022634C">
            <w:pPr>
              <w:spacing w:after="0"/>
              <w:jc w:val="center"/>
            </w:pPr>
            <w:r>
              <w:rPr>
                <w:noProof/>
                <w:lang w:eastAsia="de-DE"/>
              </w:rPr>
              <w:drawing>
                <wp:inline distT="0" distB="0" distL="0" distR="0" wp14:anchorId="2A12C58B" wp14:editId="2D313B24">
                  <wp:extent cx="504190" cy="504190"/>
                  <wp:effectExtent l="0" t="0" r="0" b="0"/>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6C1D" w:rsidRPr="009C5E28" w:rsidRDefault="002F6C1D" w:rsidP="0022634C">
            <w:pPr>
              <w:spacing w:after="0"/>
              <w:jc w:val="center"/>
            </w:pPr>
            <w:r>
              <w:rPr>
                <w:noProof/>
                <w:lang w:eastAsia="de-DE"/>
              </w:rPr>
              <w:drawing>
                <wp:inline distT="0" distB="0" distL="0" distR="0" wp14:anchorId="54B69F28" wp14:editId="7D049B84">
                  <wp:extent cx="511175" cy="511175"/>
                  <wp:effectExtent l="0" t="0" r="0" b="0"/>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F6C1D" w:rsidRPr="009C5E28" w:rsidRDefault="002F6C1D" w:rsidP="0022634C">
            <w:pPr>
              <w:spacing w:after="0"/>
              <w:jc w:val="center"/>
            </w:pPr>
            <w:r>
              <w:rPr>
                <w:noProof/>
                <w:lang w:eastAsia="de-DE"/>
              </w:rPr>
              <w:drawing>
                <wp:inline distT="0" distB="0" distL="0" distR="0" wp14:anchorId="34CF1CED" wp14:editId="08958140">
                  <wp:extent cx="504190" cy="504190"/>
                  <wp:effectExtent l="0" t="0" r="0" b="0"/>
                  <wp:docPr id="9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F6C1D" w:rsidRDefault="002F6C1D" w:rsidP="002F6C1D">
      <w:pPr>
        <w:tabs>
          <w:tab w:val="left" w:pos="1701"/>
          <w:tab w:val="left" w:pos="1985"/>
        </w:tabs>
        <w:ind w:left="1980" w:hanging="1980"/>
      </w:pPr>
    </w:p>
    <w:p w:rsidR="002F6C1D" w:rsidRDefault="002F6C1D" w:rsidP="002F6C1D">
      <w:pPr>
        <w:tabs>
          <w:tab w:val="left" w:pos="1701"/>
          <w:tab w:val="left" w:pos="1985"/>
        </w:tabs>
        <w:ind w:left="1980" w:hanging="1980"/>
      </w:pPr>
      <w:r>
        <w:t xml:space="preserve">Materialien: </w:t>
      </w:r>
      <w:r>
        <w:tab/>
      </w:r>
      <w:r>
        <w:tab/>
        <w:t>Messzylinder, Spatel, Feinwaage, Dreifuß, Gasbrenner, Feuerzeug,                  2 x 400 </w:t>
      </w:r>
      <w:proofErr w:type="spellStart"/>
      <w:r>
        <w:t>mL</w:t>
      </w:r>
      <w:proofErr w:type="spellEnd"/>
      <w:r>
        <w:t xml:space="preserve"> Becherglas, Reagenzglasständer, 3 Reagenzgläser</w:t>
      </w:r>
    </w:p>
    <w:p w:rsidR="002F6C1D" w:rsidRPr="00ED07C2" w:rsidRDefault="002F6C1D" w:rsidP="002F6C1D">
      <w:pPr>
        <w:tabs>
          <w:tab w:val="left" w:pos="1701"/>
          <w:tab w:val="left" w:pos="1985"/>
        </w:tabs>
        <w:ind w:left="1980" w:hanging="1980"/>
      </w:pPr>
      <w:r>
        <w:t>Chemikalien:</w:t>
      </w:r>
      <w:r>
        <w:tab/>
      </w:r>
      <w:r>
        <w:tab/>
        <w:t>Eisen(III)</w:t>
      </w:r>
      <w:proofErr w:type="spellStart"/>
      <w:r>
        <w:t>chlorid</w:t>
      </w:r>
      <w:proofErr w:type="spellEnd"/>
      <w:r>
        <w:t xml:space="preserve">, </w:t>
      </w:r>
      <w:proofErr w:type="spellStart"/>
      <w:r>
        <w:t>Kaliumthiocyanat</w:t>
      </w:r>
      <w:proofErr w:type="spellEnd"/>
      <w:r>
        <w:t>, Wasser, Eis, Kältesalz</w:t>
      </w:r>
    </w:p>
    <w:p w:rsidR="002F6C1D" w:rsidRDefault="002F6C1D" w:rsidP="002F6C1D">
      <w:pPr>
        <w:tabs>
          <w:tab w:val="left" w:pos="1701"/>
          <w:tab w:val="left" w:pos="1985"/>
        </w:tabs>
        <w:ind w:left="1980" w:hanging="1980"/>
      </w:pPr>
      <w:r>
        <w:t xml:space="preserve">Durchführung: </w:t>
      </w:r>
      <w:r>
        <w:tab/>
      </w:r>
      <w:r>
        <w:tab/>
      </w:r>
      <w:r>
        <w:tab/>
        <w:t>Die Lösungen werden wie in V3 beschrieben angesetzt. Je 5 </w:t>
      </w:r>
      <w:proofErr w:type="spellStart"/>
      <w:r>
        <w:t>mL</w:t>
      </w:r>
      <w:proofErr w:type="spellEnd"/>
      <w:r>
        <w:t xml:space="preserve"> der beiden Lösungen werden in die drei Reagenzgläser gegeben. Eines wird bei Rau</w:t>
      </w:r>
      <w:r>
        <w:t>m</w:t>
      </w:r>
      <w:r>
        <w:t>temperatur im Reagenzglasständer gelagert, das zweite wird in eine Eis-Kältesalzmischung gestellt und das dritte wird in einem Wasserbad über dem Gasbrenner erhitzt. Nach 5 Minuten werden die Farben der Lösungen miteinander verglichen.</w:t>
      </w:r>
    </w:p>
    <w:p w:rsidR="002F6C1D" w:rsidRDefault="002F6C1D" w:rsidP="002F6C1D">
      <w:pPr>
        <w:tabs>
          <w:tab w:val="left" w:pos="1701"/>
          <w:tab w:val="left" w:pos="1985"/>
        </w:tabs>
        <w:ind w:left="1980" w:hanging="1980"/>
      </w:pPr>
      <w:r>
        <w:t>Beobachtung:</w:t>
      </w:r>
      <w:r>
        <w:tab/>
      </w:r>
      <w:r>
        <w:tab/>
      </w:r>
      <w:r>
        <w:tab/>
        <w:t>Zu Beginn haben alle drei Lösungen die gleiche rote Färbung. Die kalte L</w:t>
      </w:r>
      <w:r>
        <w:t>ö</w:t>
      </w:r>
      <w:r>
        <w:t xml:space="preserve">sung wird dunkler, die </w:t>
      </w:r>
    </w:p>
    <w:p w:rsidR="002F6C1D" w:rsidRDefault="002F6C1D" w:rsidP="002F6C1D">
      <w:pPr>
        <w:keepNext/>
        <w:tabs>
          <w:tab w:val="left" w:pos="1701"/>
          <w:tab w:val="left" w:pos="1985"/>
        </w:tabs>
        <w:spacing w:after="0" w:line="240" w:lineRule="auto"/>
        <w:ind w:left="1980" w:hanging="1980"/>
      </w:pPr>
      <w:r>
        <w:rPr>
          <w:noProof/>
          <w:lang w:eastAsia="de-DE"/>
        </w:rPr>
        <w:lastRenderedPageBreak/>
        <w:drawing>
          <wp:inline distT="0" distB="0" distL="0" distR="0" wp14:anchorId="6A8C1CDC" wp14:editId="1C3C0EFF">
            <wp:extent cx="4285615" cy="3240105"/>
            <wp:effectExtent l="8573" t="0" r="9207" b="9208"/>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344.jpg"/>
                    <pic:cNvPicPr/>
                  </pic:nvPicPr>
                  <pic:blipFill rotWithShape="1">
                    <a:blip r:embed="rId17" cstate="print">
                      <a:extLst>
                        <a:ext uri="{28A0092B-C50C-407E-A947-70E740481C1C}">
                          <a14:useLocalDpi xmlns:a14="http://schemas.microsoft.com/office/drawing/2010/main" val="0"/>
                        </a:ext>
                      </a:extLst>
                    </a:blip>
                    <a:srcRect l="25628"/>
                    <a:stretch/>
                  </pic:blipFill>
                  <pic:spPr bwMode="auto">
                    <a:xfrm rot="16200000" flipH="1">
                      <a:off x="0" y="0"/>
                      <a:ext cx="4284332" cy="3239135"/>
                    </a:xfrm>
                    <a:prstGeom prst="rect">
                      <a:avLst/>
                    </a:prstGeom>
                    <a:ln>
                      <a:noFill/>
                    </a:ln>
                    <a:extLst>
                      <a:ext uri="{53640926-AAD7-44D8-BBD7-CCE9431645EC}">
                        <a14:shadowObscured xmlns:a14="http://schemas.microsoft.com/office/drawing/2010/main"/>
                      </a:ext>
                    </a:extLst>
                  </pic:spPr>
                </pic:pic>
              </a:graphicData>
            </a:graphic>
          </wp:inline>
        </w:drawing>
      </w:r>
    </w:p>
    <w:p w:rsidR="002F6C1D" w:rsidRDefault="002F6C1D" w:rsidP="002F6C1D">
      <w:pPr>
        <w:pStyle w:val="Beschriftung"/>
        <w:jc w:val="left"/>
        <w:rPr>
          <w:noProof/>
        </w:rPr>
      </w:pPr>
      <w:r>
        <w:t xml:space="preserve">Abb. </w:t>
      </w:r>
      <w:r>
        <w:fldChar w:fldCharType="begin"/>
      </w:r>
      <w:r>
        <w:instrText xml:space="preserve"> SEQ Abb. \* ARABIC </w:instrText>
      </w:r>
      <w:r>
        <w:fldChar w:fldCharType="separate"/>
      </w:r>
      <w:r>
        <w:rPr>
          <w:noProof/>
        </w:rPr>
        <w:t>1</w:t>
      </w:r>
      <w:r>
        <w:rPr>
          <w:noProof/>
        </w:rPr>
        <w:fldChar w:fldCharType="end"/>
      </w:r>
      <w:r>
        <w:rPr>
          <w:noProof/>
        </w:rPr>
        <w:t>2</w:t>
      </w:r>
      <w:r>
        <w:t xml:space="preserve"> – </w:t>
      </w:r>
      <w:r>
        <w:rPr>
          <w:noProof/>
        </w:rPr>
        <w:t>Versuchsaufbau V4</w:t>
      </w:r>
    </w:p>
    <w:p w:rsidR="002F6C1D" w:rsidRDefault="002F6C1D" w:rsidP="002F6C1D">
      <w:pPr>
        <w:spacing w:after="0" w:line="240" w:lineRule="auto"/>
      </w:pPr>
      <w:r>
        <w:rPr>
          <w:noProof/>
          <w:lang w:eastAsia="de-DE"/>
        </w:rPr>
        <w:drawing>
          <wp:inline distT="0" distB="0" distL="0" distR="0" wp14:anchorId="471815C4" wp14:editId="0207E4D6">
            <wp:extent cx="2457793" cy="4305901"/>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C6F59.tmp"/>
                    <pic:cNvPicPr/>
                  </pic:nvPicPr>
                  <pic:blipFill>
                    <a:blip r:embed="rId18">
                      <a:extLst>
                        <a:ext uri="{28A0092B-C50C-407E-A947-70E740481C1C}">
                          <a14:useLocalDpi xmlns:a14="http://schemas.microsoft.com/office/drawing/2010/main" val="0"/>
                        </a:ext>
                      </a:extLst>
                    </a:blip>
                    <a:stretch>
                      <a:fillRect/>
                    </a:stretch>
                  </pic:blipFill>
                  <pic:spPr>
                    <a:xfrm>
                      <a:off x="0" y="0"/>
                      <a:ext cx="2457793" cy="4305901"/>
                    </a:xfrm>
                    <a:prstGeom prst="rect">
                      <a:avLst/>
                    </a:prstGeom>
                  </pic:spPr>
                </pic:pic>
              </a:graphicData>
            </a:graphic>
          </wp:inline>
        </w:drawing>
      </w:r>
    </w:p>
    <w:p w:rsidR="002F6C1D" w:rsidRDefault="002F6C1D" w:rsidP="002F6C1D">
      <w:pPr>
        <w:spacing w:after="0" w:line="240" w:lineRule="auto"/>
        <w:rPr>
          <w:sz w:val="18"/>
        </w:rPr>
      </w:pPr>
      <w:r w:rsidRPr="00013561">
        <w:rPr>
          <w:sz w:val="18"/>
        </w:rPr>
        <w:t xml:space="preserve">Abb. 13 – Beobachtung V4: </w:t>
      </w:r>
      <w:r>
        <w:rPr>
          <w:sz w:val="18"/>
        </w:rPr>
        <w:t>Im Kalten wird die Lösung dunkler,</w:t>
      </w:r>
    </w:p>
    <w:p w:rsidR="002F6C1D" w:rsidRDefault="002F6C1D" w:rsidP="002F6C1D">
      <w:pPr>
        <w:spacing w:after="0" w:line="240" w:lineRule="auto"/>
        <w:rPr>
          <w:sz w:val="18"/>
        </w:rPr>
      </w:pPr>
      <w:r>
        <w:rPr>
          <w:sz w:val="18"/>
        </w:rPr>
        <w:lastRenderedPageBreak/>
        <w:tab/>
        <w:t xml:space="preserve">im </w:t>
      </w:r>
      <w:proofErr w:type="spellStart"/>
      <w:r>
        <w:rPr>
          <w:sz w:val="18"/>
        </w:rPr>
        <w:t>Heißen</w:t>
      </w:r>
      <w:proofErr w:type="spellEnd"/>
      <w:r>
        <w:rPr>
          <w:sz w:val="18"/>
        </w:rPr>
        <w:t xml:space="preserve"> wird sie orangefarben</w:t>
      </w:r>
    </w:p>
    <w:p w:rsidR="002F6C1D" w:rsidRPr="00013561" w:rsidRDefault="002F6C1D" w:rsidP="002F6C1D">
      <w:pPr>
        <w:spacing w:after="0" w:line="240" w:lineRule="auto"/>
        <w:rPr>
          <w:sz w:val="18"/>
        </w:rPr>
      </w:pPr>
    </w:p>
    <w:p w:rsidR="002F6C1D" w:rsidRDefault="002F6C1D" w:rsidP="002F6C1D">
      <w:pPr>
        <w:tabs>
          <w:tab w:val="left" w:pos="1701"/>
          <w:tab w:val="left" w:pos="1985"/>
          <w:tab w:val="left" w:pos="2655"/>
        </w:tabs>
        <w:spacing w:after="0"/>
        <w:ind w:left="1980" w:hanging="1980"/>
      </w:pPr>
      <w:r>
        <w:t>Deutung:</w:t>
      </w:r>
      <w:r>
        <w:tab/>
      </w:r>
      <w:r>
        <w:tab/>
        <w:t>Fe</w:t>
      </w:r>
      <w:r w:rsidRPr="00B62B7B">
        <w:rPr>
          <w:vertAlign w:val="superscript"/>
        </w:rPr>
        <w:t>3+</w:t>
      </w:r>
      <w:r>
        <w:rPr>
          <w:vertAlign w:val="subscript"/>
        </w:rPr>
        <w:t>(</w:t>
      </w:r>
      <w:proofErr w:type="spellStart"/>
      <w:r>
        <w:rPr>
          <w:vertAlign w:val="subscript"/>
        </w:rPr>
        <w:t>aq</w:t>
      </w:r>
      <w:proofErr w:type="spellEnd"/>
      <w:r>
        <w:rPr>
          <w:vertAlign w:val="subscript"/>
        </w:rPr>
        <w:t>)</w:t>
      </w:r>
      <w:r>
        <w:t xml:space="preserve"> + 3 SCN</w:t>
      </w:r>
      <w:r w:rsidRPr="00B62B7B">
        <w:rPr>
          <w:vertAlign w:val="superscript"/>
        </w:rPr>
        <w:t>-</w:t>
      </w:r>
      <w:r>
        <w:rPr>
          <w:vertAlign w:val="subscript"/>
        </w:rPr>
        <w:t>(</w:t>
      </w:r>
      <w:proofErr w:type="spellStart"/>
      <w:r>
        <w:rPr>
          <w:vertAlign w:val="subscript"/>
        </w:rPr>
        <w:t>aq</w:t>
      </w:r>
      <w:proofErr w:type="spellEnd"/>
      <w:r>
        <w:rPr>
          <w:vertAlign w:val="subscript"/>
        </w:rPr>
        <w:t>)</w:t>
      </w:r>
      <w:r>
        <w:t xml:space="preserve"> ⇌  </w:t>
      </w:r>
      <w:proofErr w:type="spellStart"/>
      <w:r>
        <w:t>Fe</w:t>
      </w:r>
      <w:proofErr w:type="spellEnd"/>
      <w:r>
        <w:t>(SCN)</w:t>
      </w:r>
      <w:r w:rsidRPr="00B62B7B">
        <w:rPr>
          <w:vertAlign w:val="subscript"/>
        </w:rPr>
        <w:t>3(</w:t>
      </w:r>
      <w:proofErr w:type="spellStart"/>
      <w:r w:rsidRPr="00B62B7B">
        <w:rPr>
          <w:vertAlign w:val="subscript"/>
        </w:rPr>
        <w:t>aq</w:t>
      </w:r>
      <w:proofErr w:type="spellEnd"/>
      <w:r w:rsidRPr="00B62B7B">
        <w:rPr>
          <w:vertAlign w:val="subscript"/>
        </w:rPr>
        <w:t>)</w:t>
      </w:r>
      <w:r>
        <w:tab/>
      </w:r>
    </w:p>
    <w:p w:rsidR="002F6C1D" w:rsidRDefault="002F6C1D" w:rsidP="002F6C1D">
      <w:pPr>
        <w:tabs>
          <w:tab w:val="left" w:pos="1701"/>
          <w:tab w:val="left" w:pos="1985"/>
          <w:tab w:val="left" w:pos="2655"/>
        </w:tabs>
        <w:ind w:left="1980" w:hanging="1980"/>
      </w:pPr>
      <w:r>
        <w:tab/>
        <w:t xml:space="preserve">     (gelb)</w:t>
      </w:r>
      <w:r>
        <w:tab/>
      </w:r>
      <w:r>
        <w:tab/>
      </w:r>
      <w:r>
        <w:tab/>
        <w:t xml:space="preserve">         (dunkelrot)</w:t>
      </w:r>
    </w:p>
    <w:p w:rsidR="002F6C1D" w:rsidRDefault="002F6C1D" w:rsidP="002F6C1D">
      <w:pPr>
        <w:tabs>
          <w:tab w:val="left" w:pos="1701"/>
          <w:tab w:val="left" w:pos="1985"/>
          <w:tab w:val="left" w:pos="2655"/>
        </w:tabs>
        <w:ind w:left="1980" w:hanging="1980"/>
      </w:pPr>
      <w:r>
        <w:tab/>
        <w:t xml:space="preserve">     Bei Raumtemperatur bleibt Farbe der Lösung gleich. Das Gleichgewicht ist eingestellt und die Konzentrationsverhältnisse bleiben bestehen.</w:t>
      </w:r>
    </w:p>
    <w:p w:rsidR="002F6C1D" w:rsidRDefault="002F6C1D" w:rsidP="002F6C1D">
      <w:pPr>
        <w:tabs>
          <w:tab w:val="left" w:pos="1701"/>
          <w:tab w:val="left" w:pos="1985"/>
          <w:tab w:val="left" w:pos="2655"/>
        </w:tabs>
        <w:ind w:left="1980" w:hanging="1980"/>
      </w:pPr>
      <w:r>
        <w:tab/>
      </w:r>
      <w:r>
        <w:tab/>
        <w:t>Beim Erhitzen verändert sich die Farbe. Die Lösung wird heller und leicht orangefarben. Die Lage des Gleichgewichts wird auf die Seite der Edukte verschoben. Die Konzentration der Produkte nimmt ab, die Konzentration der Edukte nimmt zu. Die Temperaturerhöhung begünstigt die Rückreakt</w:t>
      </w:r>
      <w:r>
        <w:t>i</w:t>
      </w:r>
      <w:r>
        <w:t xml:space="preserve">on. </w:t>
      </w:r>
    </w:p>
    <w:p w:rsidR="002F6C1D" w:rsidRDefault="002F6C1D" w:rsidP="002F6C1D">
      <w:pPr>
        <w:tabs>
          <w:tab w:val="left" w:pos="1701"/>
          <w:tab w:val="left" w:pos="1985"/>
          <w:tab w:val="left" w:pos="2655"/>
        </w:tabs>
        <w:ind w:left="1980" w:hanging="1980"/>
      </w:pPr>
      <w:r>
        <w:tab/>
      </w:r>
      <w:r>
        <w:tab/>
        <w:t>Beim Abkühlen verändert sich die Farbe. Die Lösung wird dunkler. Die L</w:t>
      </w:r>
      <w:r>
        <w:t>a</w:t>
      </w:r>
      <w:r>
        <w:t xml:space="preserve">ge des Gleichgewichts wird also auf die Seite der Produkte verschoben. Die Konzentration der Edukte nimmt ab, die Konzentration der Produkte nimmt zu. Die Temperaturerniedrigung begünstigt die </w:t>
      </w:r>
      <w:proofErr w:type="spellStart"/>
      <w:r>
        <w:t>Hinreaktion</w:t>
      </w:r>
      <w:proofErr w:type="spellEnd"/>
      <w:r>
        <w:t xml:space="preserve">. </w:t>
      </w:r>
    </w:p>
    <w:p w:rsidR="002F6C1D" w:rsidRDefault="002F6C1D" w:rsidP="002F6C1D">
      <w:pPr>
        <w:tabs>
          <w:tab w:val="left" w:pos="1701"/>
          <w:tab w:val="left" w:pos="1985"/>
          <w:tab w:val="left" w:pos="2655"/>
        </w:tabs>
        <w:ind w:left="1980" w:hanging="1980"/>
      </w:pPr>
      <w:r>
        <w:tab/>
      </w:r>
      <w:r>
        <w:tab/>
        <w:t xml:space="preserve">Offenbar ist die Bildung von </w:t>
      </w:r>
      <w:proofErr w:type="spellStart"/>
      <w:r>
        <w:t>Eisenthiocyanat</w:t>
      </w:r>
      <w:proofErr w:type="spellEnd"/>
      <w:r>
        <w:t xml:space="preserve"> exotherm, denn Temper</w:t>
      </w:r>
      <w:r>
        <w:t>a</w:t>
      </w:r>
      <w:r>
        <w:t>turerniedrigung ist ein Zwang, dem ein System mit Wärmeproduktion en</w:t>
      </w:r>
      <w:r>
        <w:t>t</w:t>
      </w:r>
      <w:r>
        <w:t xml:space="preserve">gegenwirkt. Da im </w:t>
      </w:r>
      <w:proofErr w:type="spellStart"/>
      <w:r>
        <w:t>Kältebad</w:t>
      </w:r>
      <w:proofErr w:type="spellEnd"/>
      <w:r>
        <w:t xml:space="preserve"> die </w:t>
      </w:r>
      <w:proofErr w:type="spellStart"/>
      <w:r>
        <w:t>Hinreaktion</w:t>
      </w:r>
      <w:proofErr w:type="spellEnd"/>
      <w:r>
        <w:t xml:space="preserve"> begünstigt wird, wird offenbar Energie frei; die Reaktion ist also exotherm. </w:t>
      </w:r>
    </w:p>
    <w:p w:rsidR="002F6C1D" w:rsidRDefault="002F6C1D" w:rsidP="002F6C1D">
      <w:pPr>
        <w:tabs>
          <w:tab w:val="left" w:pos="1701"/>
          <w:tab w:val="left" w:pos="1985"/>
          <w:tab w:val="left" w:pos="2655"/>
        </w:tabs>
        <w:ind w:left="1980" w:hanging="1980"/>
      </w:pPr>
      <w:r>
        <w:t xml:space="preserve">Entsorgung: </w:t>
      </w:r>
      <w:r>
        <w:tab/>
      </w:r>
      <w:r>
        <w:tab/>
        <w:t>Die Lösungen werden im Schwermetallabfall entsorgt.</w:t>
      </w:r>
    </w:p>
    <w:p w:rsidR="002F6C1D" w:rsidRPr="005B60E3" w:rsidRDefault="002F6C1D" w:rsidP="002F6C1D">
      <w:pPr>
        <w:tabs>
          <w:tab w:val="left" w:pos="1701"/>
          <w:tab w:val="left" w:pos="1985"/>
        </w:tabs>
        <w:ind w:left="1980" w:hanging="1980"/>
        <w:rPr>
          <w:rFonts w:asciiTheme="majorHAnsi" w:eastAsiaTheme="majorEastAsia" w:hAnsiTheme="majorHAnsi" w:cstheme="majorBidi"/>
          <w:b/>
          <w:bCs/>
          <w:sz w:val="28"/>
          <w:szCs w:val="28"/>
        </w:rPr>
      </w:pPr>
      <w:r>
        <w:t>Literatur:</w:t>
      </w:r>
      <w:r>
        <w:tab/>
      </w:r>
      <w:r>
        <w:tab/>
      </w:r>
      <w:r>
        <w:rPr>
          <w:color w:val="1F497D" w:themeColor="text2"/>
        </w:rPr>
        <w:t xml:space="preserve">Hoffmeister, Holger, </w:t>
      </w:r>
      <w:r w:rsidRPr="00854E23">
        <w:rPr>
          <w:color w:val="1F497D" w:themeColor="text2"/>
        </w:rPr>
        <w:t>http://www.hoffmeister.it/chemie/19-das_chemische</w:t>
      </w:r>
      <w:r>
        <w:rPr>
          <w:color w:val="1F497D" w:themeColor="text2"/>
        </w:rPr>
        <w:t xml:space="preserve"> </w:t>
      </w:r>
      <w:r w:rsidRPr="00854E23">
        <w:rPr>
          <w:color w:val="1F497D" w:themeColor="text2"/>
        </w:rPr>
        <w:t>_gleichgewicht.pdf</w:t>
      </w:r>
      <w:r>
        <w:rPr>
          <w:color w:val="1F497D" w:themeColor="text2"/>
        </w:rPr>
        <w:t xml:space="preserve"> (Zuletzt aufgerufen am 07.08.2013 um 11:16 Uhr), S. 15.</w:t>
      </w:r>
    </w:p>
    <w:p w:rsidR="002F6C1D" w:rsidRDefault="002F6C1D" w:rsidP="002F6C1D">
      <w:pPr>
        <w:tabs>
          <w:tab w:val="left" w:pos="1701"/>
          <w:tab w:val="left" w:pos="1985"/>
        </w:tabs>
        <w:ind w:left="1980" w:hanging="1980"/>
      </w:pPr>
    </w:p>
    <w:p w:rsidR="002F6C1D" w:rsidRDefault="002F6C1D" w:rsidP="002F6C1D">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03E2970D" wp14:editId="26C96EC5">
                <wp:extent cx="5873115" cy="776378"/>
                <wp:effectExtent l="0" t="0" r="13335" b="24130"/>
                <wp:docPr id="7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76378"/>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6C1D" w:rsidRDefault="002F6C1D" w:rsidP="002F6C1D">
                            <w:pPr>
                              <w:spacing w:after="0"/>
                              <w:rPr>
                                <w:b/>
                                <w:color w:val="1F497D" w:themeColor="text2"/>
                              </w:rPr>
                            </w:pPr>
                            <w:r>
                              <w:rPr>
                                <w:b/>
                                <w:color w:val="1F497D" w:themeColor="text2"/>
                              </w:rPr>
                              <w:t>U</w:t>
                            </w:r>
                            <w:r w:rsidRPr="000D10FB">
                              <w:rPr>
                                <w:b/>
                                <w:color w:val="1F497D" w:themeColor="text2"/>
                              </w:rPr>
                              <w:t xml:space="preserve">nterrichtsanschlüsse </w:t>
                            </w:r>
                          </w:p>
                          <w:p w:rsidR="002F6C1D" w:rsidRPr="000D10FB" w:rsidRDefault="002F6C1D" w:rsidP="002F6C1D">
                            <w:pPr>
                              <w:rPr>
                                <w:color w:val="1F497D" w:themeColor="text2"/>
                              </w:rPr>
                            </w:pPr>
                            <w:r>
                              <w:rPr>
                                <w:color w:val="1F497D" w:themeColor="text2"/>
                              </w:rPr>
                              <w:t xml:space="preserve">Dieser Versuch sollte in Zusammenhang mit den anderen Versuchen stehen, welche die Lage des Gleichgewichts betreffen:  V2 und V5. </w:t>
                            </w:r>
                          </w:p>
                        </w:txbxContent>
                      </wps:txbx>
                      <wps:bodyPr rot="0" vert="horz" wrap="square" lIns="91440" tIns="45720" rIns="91440" bIns="45720" anchor="t" anchorCtr="0" upright="1">
                        <a:noAutofit/>
                      </wps:bodyPr>
                    </wps:wsp>
                  </a:graphicData>
                </a:graphic>
              </wp:inline>
            </w:drawing>
          </mc:Choice>
          <mc:Fallback>
            <w:pict>
              <v:shape id="Text Box 146" o:spid="_x0000_s1027" type="#_x0000_t202" style="width:462.45pt;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" fillcolor="white [3201]" strokecolor="#c0504d [3205]" strokeweight="1pt">
                <v:stroke dashstyle="dash"/>
                <v:shadow color="#868686"/>
                <v:textbox>
                  <w:txbxContent>
                    <w:p w:rsidR="002F6C1D" w:rsidRDefault="002F6C1D" w:rsidP="002F6C1D">
                      <w:pPr>
                        <w:spacing w:after="0"/>
                        <w:rPr>
                          <w:b/>
                          <w:color w:val="1F497D" w:themeColor="text2"/>
                        </w:rPr>
                      </w:pPr>
                      <w:r>
                        <w:rPr>
                          <w:b/>
                          <w:color w:val="1F497D" w:themeColor="text2"/>
                        </w:rPr>
                        <w:t>U</w:t>
                      </w:r>
                      <w:r w:rsidRPr="000D10FB">
                        <w:rPr>
                          <w:b/>
                          <w:color w:val="1F497D" w:themeColor="text2"/>
                        </w:rPr>
                        <w:t xml:space="preserve">nterrichtsanschlüsse </w:t>
                      </w:r>
                    </w:p>
                    <w:p w:rsidR="002F6C1D" w:rsidRPr="000D10FB" w:rsidRDefault="002F6C1D" w:rsidP="002F6C1D">
                      <w:pPr>
                        <w:rPr>
                          <w:color w:val="1F497D" w:themeColor="text2"/>
                        </w:rPr>
                      </w:pPr>
                      <w:r>
                        <w:rPr>
                          <w:color w:val="1F497D" w:themeColor="text2"/>
                        </w:rPr>
                        <w:t xml:space="preserve">Dieser Versuch sollte in Zusammenhang mit den anderen Versuchen stehen, welche die Lage des Gleichgewichts betreffen:  V2 und V5. </w:t>
                      </w:r>
                    </w:p>
                  </w:txbxContent>
                </v:textbox>
                <w10:anchorlock/>
              </v:shape>
            </w:pict>
          </mc:Fallback>
        </mc:AlternateContent>
      </w:r>
    </w:p>
    <w:p w:rsidR="00146C4E" w:rsidRDefault="00146C4E"/>
    <w:sectPr w:rsidR="00146C4E">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79B" w:rsidRDefault="0078379B" w:rsidP="002F6C1D">
      <w:pPr>
        <w:spacing w:after="0" w:line="240" w:lineRule="auto"/>
      </w:pPr>
      <w:r>
        <w:separator/>
      </w:r>
    </w:p>
  </w:endnote>
  <w:endnote w:type="continuationSeparator" w:id="0">
    <w:p w:rsidR="0078379B" w:rsidRDefault="0078379B" w:rsidP="002F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1D" w:rsidRDefault="002F6C1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1D" w:rsidRDefault="002F6C1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1D" w:rsidRDefault="002F6C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79B" w:rsidRDefault="0078379B" w:rsidP="002F6C1D">
      <w:pPr>
        <w:spacing w:after="0" w:line="240" w:lineRule="auto"/>
      </w:pPr>
      <w:r>
        <w:separator/>
      </w:r>
    </w:p>
  </w:footnote>
  <w:footnote w:type="continuationSeparator" w:id="0">
    <w:p w:rsidR="0078379B" w:rsidRDefault="0078379B" w:rsidP="002F6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1D" w:rsidRDefault="002F6C1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327117"/>
      <w:docPartObj>
        <w:docPartGallery w:val="Page Numbers (Top of Page)"/>
        <w:docPartUnique/>
      </w:docPartObj>
    </w:sdtPr>
    <w:sdtContent>
      <w:p w:rsidR="002F6C1D" w:rsidRDefault="002F6C1D" w:rsidP="002F6C1D">
        <w:pPr>
          <w:pStyle w:val="Kopfzeile"/>
        </w:pPr>
        <w:r>
          <w:t>V4 – Einfluss der Temperatur auf das chemische Gleichgewicht</w:t>
        </w:r>
        <w:r>
          <w:tab/>
        </w:r>
        <w:bookmarkStart w:id="1" w:name="_GoBack"/>
        <w:bookmarkEnd w:id="1"/>
        <w:r>
          <w:fldChar w:fldCharType="begin"/>
        </w:r>
        <w:r>
          <w:instrText>PAGE   \* MERGEFORMAT</w:instrText>
        </w:r>
        <w:r>
          <w:fldChar w:fldCharType="separate"/>
        </w:r>
        <w:r>
          <w:rPr>
            <w:noProof/>
          </w:rPr>
          <w:t>1</w:t>
        </w:r>
        <w:r>
          <w:fldChar w:fldCharType="end"/>
        </w:r>
      </w:p>
    </w:sdtContent>
  </w:sdt>
  <w:p w:rsidR="002F6C1D" w:rsidRDefault="002F6C1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1D" w:rsidRDefault="002F6C1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1D"/>
    <w:rsid w:val="000065FE"/>
    <w:rsid w:val="000130BD"/>
    <w:rsid w:val="00014773"/>
    <w:rsid w:val="00015ECF"/>
    <w:rsid w:val="000238FF"/>
    <w:rsid w:val="000256FC"/>
    <w:rsid w:val="00026241"/>
    <w:rsid w:val="00046EAC"/>
    <w:rsid w:val="000514E2"/>
    <w:rsid w:val="00056674"/>
    <w:rsid w:val="00061FAA"/>
    <w:rsid w:val="00065A21"/>
    <w:rsid w:val="000819D1"/>
    <w:rsid w:val="00081FB2"/>
    <w:rsid w:val="000858DE"/>
    <w:rsid w:val="00090161"/>
    <w:rsid w:val="00090955"/>
    <w:rsid w:val="00094A4E"/>
    <w:rsid w:val="0009613F"/>
    <w:rsid w:val="000A0B6E"/>
    <w:rsid w:val="000A20EE"/>
    <w:rsid w:val="000A52E2"/>
    <w:rsid w:val="000A5DD9"/>
    <w:rsid w:val="000B52A4"/>
    <w:rsid w:val="000D0C15"/>
    <w:rsid w:val="000D4224"/>
    <w:rsid w:val="000E3AAB"/>
    <w:rsid w:val="000F7F0D"/>
    <w:rsid w:val="00100809"/>
    <w:rsid w:val="00107FD0"/>
    <w:rsid w:val="00112C34"/>
    <w:rsid w:val="001171D0"/>
    <w:rsid w:val="00126483"/>
    <w:rsid w:val="001308A9"/>
    <w:rsid w:val="00131784"/>
    <w:rsid w:val="0013533E"/>
    <w:rsid w:val="00145173"/>
    <w:rsid w:val="00146C4E"/>
    <w:rsid w:val="00153C0E"/>
    <w:rsid w:val="00153D0C"/>
    <w:rsid w:val="00163072"/>
    <w:rsid w:val="0016439B"/>
    <w:rsid w:val="001751B1"/>
    <w:rsid w:val="00175932"/>
    <w:rsid w:val="00182888"/>
    <w:rsid w:val="00186020"/>
    <w:rsid w:val="00190650"/>
    <w:rsid w:val="001926F5"/>
    <w:rsid w:val="001A17C8"/>
    <w:rsid w:val="001A26B9"/>
    <w:rsid w:val="001A5633"/>
    <w:rsid w:val="001A5F07"/>
    <w:rsid w:val="001A5FBD"/>
    <w:rsid w:val="001B293E"/>
    <w:rsid w:val="001E6118"/>
    <w:rsid w:val="00232568"/>
    <w:rsid w:val="00236E56"/>
    <w:rsid w:val="00250DB5"/>
    <w:rsid w:val="00252BB1"/>
    <w:rsid w:val="00254EC4"/>
    <w:rsid w:val="002561B3"/>
    <w:rsid w:val="00257564"/>
    <w:rsid w:val="00257BB1"/>
    <w:rsid w:val="00264ED4"/>
    <w:rsid w:val="00274BA6"/>
    <w:rsid w:val="002858D4"/>
    <w:rsid w:val="00293B1B"/>
    <w:rsid w:val="0029481A"/>
    <w:rsid w:val="002A6B1D"/>
    <w:rsid w:val="002B66CC"/>
    <w:rsid w:val="002C082D"/>
    <w:rsid w:val="002C26B4"/>
    <w:rsid w:val="002D021D"/>
    <w:rsid w:val="002D10AA"/>
    <w:rsid w:val="002D2651"/>
    <w:rsid w:val="002D4F67"/>
    <w:rsid w:val="002D52E4"/>
    <w:rsid w:val="002D5BE2"/>
    <w:rsid w:val="002E7AFF"/>
    <w:rsid w:val="002F1E33"/>
    <w:rsid w:val="002F6C1D"/>
    <w:rsid w:val="003003CE"/>
    <w:rsid w:val="003022F6"/>
    <w:rsid w:val="00312138"/>
    <w:rsid w:val="00321409"/>
    <w:rsid w:val="00326ABC"/>
    <w:rsid w:val="003275B8"/>
    <w:rsid w:val="00343F5A"/>
    <w:rsid w:val="003603F7"/>
    <w:rsid w:val="00362B9A"/>
    <w:rsid w:val="00375F5E"/>
    <w:rsid w:val="0038541D"/>
    <w:rsid w:val="00386A3B"/>
    <w:rsid w:val="00392BA6"/>
    <w:rsid w:val="0039351B"/>
    <w:rsid w:val="003A0C84"/>
    <w:rsid w:val="003A0E6B"/>
    <w:rsid w:val="003B0D87"/>
    <w:rsid w:val="003B1C5F"/>
    <w:rsid w:val="003D0DFB"/>
    <w:rsid w:val="003D46ED"/>
    <w:rsid w:val="003D5536"/>
    <w:rsid w:val="003D62CB"/>
    <w:rsid w:val="003E57FD"/>
    <w:rsid w:val="003E62F3"/>
    <w:rsid w:val="003E6585"/>
    <w:rsid w:val="003F26F3"/>
    <w:rsid w:val="003F7A7A"/>
    <w:rsid w:val="0040359F"/>
    <w:rsid w:val="00403ACC"/>
    <w:rsid w:val="0041518A"/>
    <w:rsid w:val="00434027"/>
    <w:rsid w:val="00450352"/>
    <w:rsid w:val="0045171D"/>
    <w:rsid w:val="00456F78"/>
    <w:rsid w:val="004572F9"/>
    <w:rsid w:val="00460229"/>
    <w:rsid w:val="00463827"/>
    <w:rsid w:val="00472E25"/>
    <w:rsid w:val="00483430"/>
    <w:rsid w:val="004868B9"/>
    <w:rsid w:val="004953A2"/>
    <w:rsid w:val="004A0B18"/>
    <w:rsid w:val="004A698B"/>
    <w:rsid w:val="004B00F8"/>
    <w:rsid w:val="004C20DA"/>
    <w:rsid w:val="004C3B11"/>
    <w:rsid w:val="004D0448"/>
    <w:rsid w:val="004D11C5"/>
    <w:rsid w:val="004D2A8A"/>
    <w:rsid w:val="004D44BF"/>
    <w:rsid w:val="004D4681"/>
    <w:rsid w:val="004E4097"/>
    <w:rsid w:val="00502AF6"/>
    <w:rsid w:val="0050732C"/>
    <w:rsid w:val="00517B77"/>
    <w:rsid w:val="00524FD9"/>
    <w:rsid w:val="00525D63"/>
    <w:rsid w:val="0052675B"/>
    <w:rsid w:val="00532503"/>
    <w:rsid w:val="005367B5"/>
    <w:rsid w:val="00536A81"/>
    <w:rsid w:val="00546CE2"/>
    <w:rsid w:val="005500BF"/>
    <w:rsid w:val="005715EA"/>
    <w:rsid w:val="00574D42"/>
    <w:rsid w:val="00587415"/>
    <w:rsid w:val="005972C6"/>
    <w:rsid w:val="005B45BA"/>
    <w:rsid w:val="005B4B2A"/>
    <w:rsid w:val="005C1916"/>
    <w:rsid w:val="005C20C5"/>
    <w:rsid w:val="005C38A8"/>
    <w:rsid w:val="005C4EA3"/>
    <w:rsid w:val="005D167D"/>
    <w:rsid w:val="005E6A5A"/>
    <w:rsid w:val="005E7449"/>
    <w:rsid w:val="005E7743"/>
    <w:rsid w:val="005F289D"/>
    <w:rsid w:val="005F4081"/>
    <w:rsid w:val="00600BC8"/>
    <w:rsid w:val="0061374D"/>
    <w:rsid w:val="00614338"/>
    <w:rsid w:val="006149BF"/>
    <w:rsid w:val="00615F9E"/>
    <w:rsid w:val="00616F69"/>
    <w:rsid w:val="0062310E"/>
    <w:rsid w:val="006278DC"/>
    <w:rsid w:val="00633B59"/>
    <w:rsid w:val="006346E0"/>
    <w:rsid w:val="00643C2E"/>
    <w:rsid w:val="0064416F"/>
    <w:rsid w:val="00644FED"/>
    <w:rsid w:val="00646978"/>
    <w:rsid w:val="00652ADA"/>
    <w:rsid w:val="00655F38"/>
    <w:rsid w:val="00656DEF"/>
    <w:rsid w:val="006637F2"/>
    <w:rsid w:val="00672764"/>
    <w:rsid w:val="0067315E"/>
    <w:rsid w:val="00675FC1"/>
    <w:rsid w:val="00681DFC"/>
    <w:rsid w:val="00686CCE"/>
    <w:rsid w:val="006949F5"/>
    <w:rsid w:val="006A1E0A"/>
    <w:rsid w:val="006A3130"/>
    <w:rsid w:val="006B00BD"/>
    <w:rsid w:val="006B055B"/>
    <w:rsid w:val="006B1F87"/>
    <w:rsid w:val="006C3FDF"/>
    <w:rsid w:val="006C4258"/>
    <w:rsid w:val="006D20AF"/>
    <w:rsid w:val="006F080B"/>
    <w:rsid w:val="006F3250"/>
    <w:rsid w:val="006F5A20"/>
    <w:rsid w:val="00705979"/>
    <w:rsid w:val="00712BC2"/>
    <w:rsid w:val="00720104"/>
    <w:rsid w:val="00720EFC"/>
    <w:rsid w:val="00731495"/>
    <w:rsid w:val="00734840"/>
    <w:rsid w:val="00740B3E"/>
    <w:rsid w:val="007454AB"/>
    <w:rsid w:val="00750E76"/>
    <w:rsid w:val="007550A5"/>
    <w:rsid w:val="007635B2"/>
    <w:rsid w:val="00776DEB"/>
    <w:rsid w:val="0078379B"/>
    <w:rsid w:val="007859EE"/>
    <w:rsid w:val="0078741F"/>
    <w:rsid w:val="00787779"/>
    <w:rsid w:val="0079294C"/>
    <w:rsid w:val="0079482A"/>
    <w:rsid w:val="007A2261"/>
    <w:rsid w:val="007A58B5"/>
    <w:rsid w:val="007A60BF"/>
    <w:rsid w:val="007A611E"/>
    <w:rsid w:val="007B3D0F"/>
    <w:rsid w:val="007C2056"/>
    <w:rsid w:val="007D08C5"/>
    <w:rsid w:val="007E59AE"/>
    <w:rsid w:val="007E7771"/>
    <w:rsid w:val="007F116D"/>
    <w:rsid w:val="007F3556"/>
    <w:rsid w:val="00800FC7"/>
    <w:rsid w:val="00802CB7"/>
    <w:rsid w:val="008064E5"/>
    <w:rsid w:val="00811BAA"/>
    <w:rsid w:val="008337CD"/>
    <w:rsid w:val="00836D12"/>
    <w:rsid w:val="008579AE"/>
    <w:rsid w:val="00864BD1"/>
    <w:rsid w:val="00867A30"/>
    <w:rsid w:val="008708AB"/>
    <w:rsid w:val="00874F9E"/>
    <w:rsid w:val="00877FBA"/>
    <w:rsid w:val="00883E0B"/>
    <w:rsid w:val="00886926"/>
    <w:rsid w:val="008901CF"/>
    <w:rsid w:val="0089108A"/>
    <w:rsid w:val="008911BD"/>
    <w:rsid w:val="008A2E38"/>
    <w:rsid w:val="008B6713"/>
    <w:rsid w:val="008C0EB5"/>
    <w:rsid w:val="008C2388"/>
    <w:rsid w:val="008D00EC"/>
    <w:rsid w:val="008D2B64"/>
    <w:rsid w:val="008D3581"/>
    <w:rsid w:val="0090293C"/>
    <w:rsid w:val="00912028"/>
    <w:rsid w:val="009353C3"/>
    <w:rsid w:val="009411FC"/>
    <w:rsid w:val="00944C16"/>
    <w:rsid w:val="0094711B"/>
    <w:rsid w:val="00952959"/>
    <w:rsid w:val="0095629A"/>
    <w:rsid w:val="00960044"/>
    <w:rsid w:val="00960DE8"/>
    <w:rsid w:val="00976827"/>
    <w:rsid w:val="00977098"/>
    <w:rsid w:val="009812BB"/>
    <w:rsid w:val="00982A9A"/>
    <w:rsid w:val="00983B3A"/>
    <w:rsid w:val="009B7964"/>
    <w:rsid w:val="009C650F"/>
    <w:rsid w:val="009D1431"/>
    <w:rsid w:val="009D4A00"/>
    <w:rsid w:val="009D71C6"/>
    <w:rsid w:val="009E5644"/>
    <w:rsid w:val="009E7609"/>
    <w:rsid w:val="009F043B"/>
    <w:rsid w:val="009F3E13"/>
    <w:rsid w:val="009F5671"/>
    <w:rsid w:val="009F77BA"/>
    <w:rsid w:val="009F79A8"/>
    <w:rsid w:val="00A038D7"/>
    <w:rsid w:val="00A10603"/>
    <w:rsid w:val="00A1701B"/>
    <w:rsid w:val="00A2200B"/>
    <w:rsid w:val="00A22EB6"/>
    <w:rsid w:val="00A24303"/>
    <w:rsid w:val="00A359FD"/>
    <w:rsid w:val="00A3747E"/>
    <w:rsid w:val="00A42DC0"/>
    <w:rsid w:val="00A5155A"/>
    <w:rsid w:val="00A5219F"/>
    <w:rsid w:val="00A600AD"/>
    <w:rsid w:val="00A65F6F"/>
    <w:rsid w:val="00A74ABC"/>
    <w:rsid w:val="00A8632D"/>
    <w:rsid w:val="00A91C01"/>
    <w:rsid w:val="00AA0E4F"/>
    <w:rsid w:val="00AA2EF2"/>
    <w:rsid w:val="00AA47FE"/>
    <w:rsid w:val="00AB3279"/>
    <w:rsid w:val="00AB4346"/>
    <w:rsid w:val="00AB70D4"/>
    <w:rsid w:val="00AC4CE3"/>
    <w:rsid w:val="00AD2ECE"/>
    <w:rsid w:val="00AD3400"/>
    <w:rsid w:val="00AD6D93"/>
    <w:rsid w:val="00AD6D9C"/>
    <w:rsid w:val="00AF1ABC"/>
    <w:rsid w:val="00AF6015"/>
    <w:rsid w:val="00AF69DC"/>
    <w:rsid w:val="00B13B72"/>
    <w:rsid w:val="00B2463B"/>
    <w:rsid w:val="00B24F91"/>
    <w:rsid w:val="00B25C5E"/>
    <w:rsid w:val="00B30CE1"/>
    <w:rsid w:val="00B3129E"/>
    <w:rsid w:val="00B46297"/>
    <w:rsid w:val="00B50599"/>
    <w:rsid w:val="00B517A7"/>
    <w:rsid w:val="00B6334F"/>
    <w:rsid w:val="00B67771"/>
    <w:rsid w:val="00B70225"/>
    <w:rsid w:val="00B74C8F"/>
    <w:rsid w:val="00B95596"/>
    <w:rsid w:val="00BA3AD3"/>
    <w:rsid w:val="00BB1642"/>
    <w:rsid w:val="00BB26DE"/>
    <w:rsid w:val="00BD2513"/>
    <w:rsid w:val="00BD300F"/>
    <w:rsid w:val="00BD52BD"/>
    <w:rsid w:val="00BD6542"/>
    <w:rsid w:val="00BD706B"/>
    <w:rsid w:val="00BD708D"/>
    <w:rsid w:val="00BD75CB"/>
    <w:rsid w:val="00BE6511"/>
    <w:rsid w:val="00BF005A"/>
    <w:rsid w:val="00BF2F49"/>
    <w:rsid w:val="00BF5B21"/>
    <w:rsid w:val="00C1277A"/>
    <w:rsid w:val="00C127CE"/>
    <w:rsid w:val="00C17325"/>
    <w:rsid w:val="00C20464"/>
    <w:rsid w:val="00C20DE9"/>
    <w:rsid w:val="00C23EEB"/>
    <w:rsid w:val="00C24401"/>
    <w:rsid w:val="00C343DD"/>
    <w:rsid w:val="00C35D69"/>
    <w:rsid w:val="00C43ECB"/>
    <w:rsid w:val="00C4478D"/>
    <w:rsid w:val="00C454E6"/>
    <w:rsid w:val="00C45EFB"/>
    <w:rsid w:val="00C557D7"/>
    <w:rsid w:val="00C55FE4"/>
    <w:rsid w:val="00C574B8"/>
    <w:rsid w:val="00C6202A"/>
    <w:rsid w:val="00C63B8E"/>
    <w:rsid w:val="00C75562"/>
    <w:rsid w:val="00C80B4E"/>
    <w:rsid w:val="00C9024B"/>
    <w:rsid w:val="00C93831"/>
    <w:rsid w:val="00CA1589"/>
    <w:rsid w:val="00CA2B8D"/>
    <w:rsid w:val="00CA7047"/>
    <w:rsid w:val="00CB6E09"/>
    <w:rsid w:val="00CB774D"/>
    <w:rsid w:val="00CD29DF"/>
    <w:rsid w:val="00CD75B6"/>
    <w:rsid w:val="00CE446E"/>
    <w:rsid w:val="00CE55C7"/>
    <w:rsid w:val="00D11130"/>
    <w:rsid w:val="00D16090"/>
    <w:rsid w:val="00D22426"/>
    <w:rsid w:val="00D24119"/>
    <w:rsid w:val="00D26791"/>
    <w:rsid w:val="00D26F4A"/>
    <w:rsid w:val="00D3541E"/>
    <w:rsid w:val="00D543D5"/>
    <w:rsid w:val="00D5555A"/>
    <w:rsid w:val="00D557FA"/>
    <w:rsid w:val="00D670DF"/>
    <w:rsid w:val="00D732BE"/>
    <w:rsid w:val="00D81408"/>
    <w:rsid w:val="00D8234C"/>
    <w:rsid w:val="00D90922"/>
    <w:rsid w:val="00D90E92"/>
    <w:rsid w:val="00D91BCD"/>
    <w:rsid w:val="00D922A9"/>
    <w:rsid w:val="00D92645"/>
    <w:rsid w:val="00D97559"/>
    <w:rsid w:val="00DC355A"/>
    <w:rsid w:val="00DC5F2A"/>
    <w:rsid w:val="00DC7C60"/>
    <w:rsid w:val="00DD0F9C"/>
    <w:rsid w:val="00DD2D8D"/>
    <w:rsid w:val="00DE41BF"/>
    <w:rsid w:val="00DF41E7"/>
    <w:rsid w:val="00DF78FA"/>
    <w:rsid w:val="00E1115D"/>
    <w:rsid w:val="00E201D2"/>
    <w:rsid w:val="00E20CF3"/>
    <w:rsid w:val="00E23505"/>
    <w:rsid w:val="00E265CA"/>
    <w:rsid w:val="00E34AED"/>
    <w:rsid w:val="00E359DB"/>
    <w:rsid w:val="00E44204"/>
    <w:rsid w:val="00E44DB9"/>
    <w:rsid w:val="00E4654F"/>
    <w:rsid w:val="00E5009F"/>
    <w:rsid w:val="00E60F76"/>
    <w:rsid w:val="00E63507"/>
    <w:rsid w:val="00E65374"/>
    <w:rsid w:val="00E7582C"/>
    <w:rsid w:val="00E7737E"/>
    <w:rsid w:val="00E83C9C"/>
    <w:rsid w:val="00E864EE"/>
    <w:rsid w:val="00E9129D"/>
    <w:rsid w:val="00E93332"/>
    <w:rsid w:val="00E97C65"/>
    <w:rsid w:val="00EA75B2"/>
    <w:rsid w:val="00EB307F"/>
    <w:rsid w:val="00EB3E66"/>
    <w:rsid w:val="00EB6349"/>
    <w:rsid w:val="00EB699D"/>
    <w:rsid w:val="00EB7419"/>
    <w:rsid w:val="00ED4792"/>
    <w:rsid w:val="00EE131D"/>
    <w:rsid w:val="00EF42E5"/>
    <w:rsid w:val="00EF75DE"/>
    <w:rsid w:val="00F06D05"/>
    <w:rsid w:val="00F118F3"/>
    <w:rsid w:val="00F17175"/>
    <w:rsid w:val="00F23943"/>
    <w:rsid w:val="00F3357E"/>
    <w:rsid w:val="00F33B29"/>
    <w:rsid w:val="00F37AA0"/>
    <w:rsid w:val="00F41D35"/>
    <w:rsid w:val="00F57F6C"/>
    <w:rsid w:val="00F606A8"/>
    <w:rsid w:val="00F64553"/>
    <w:rsid w:val="00F71821"/>
    <w:rsid w:val="00F755C5"/>
    <w:rsid w:val="00F909D6"/>
    <w:rsid w:val="00F9167F"/>
    <w:rsid w:val="00F917E9"/>
    <w:rsid w:val="00FA1162"/>
    <w:rsid w:val="00FA16C2"/>
    <w:rsid w:val="00FA3A10"/>
    <w:rsid w:val="00FA78C0"/>
    <w:rsid w:val="00FB7AE3"/>
    <w:rsid w:val="00FC0D2B"/>
    <w:rsid w:val="00FD16F0"/>
    <w:rsid w:val="00FD594B"/>
    <w:rsid w:val="00FE1AA1"/>
    <w:rsid w:val="00FF3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6C1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F6C1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F6C1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F6C1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F6C1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F6C1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F6C1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F6C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F6C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F6C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6C1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F6C1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F6C1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F6C1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F6C1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F6C1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F6C1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F6C1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F6C1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F6C1D"/>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2F6C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6C1D"/>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2F6C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6C1D"/>
    <w:rPr>
      <w:rFonts w:ascii="Cambria" w:hAnsi="Cambria"/>
      <w:color w:val="1D1B11" w:themeColor="background2" w:themeShade="1A"/>
    </w:rPr>
  </w:style>
  <w:style w:type="paragraph" w:styleId="Fuzeile">
    <w:name w:val="footer"/>
    <w:basedOn w:val="Standard"/>
    <w:link w:val="FuzeileZchn"/>
    <w:uiPriority w:val="99"/>
    <w:unhideWhenUsed/>
    <w:rsid w:val="002F6C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6C1D"/>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6C1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F6C1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F6C1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F6C1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F6C1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F6C1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F6C1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F6C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F6C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F6C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6C1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F6C1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F6C1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F6C1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F6C1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F6C1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F6C1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F6C1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F6C1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F6C1D"/>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2F6C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6C1D"/>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2F6C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6C1D"/>
    <w:rPr>
      <w:rFonts w:ascii="Cambria" w:hAnsi="Cambria"/>
      <w:color w:val="1D1B11" w:themeColor="background2" w:themeShade="1A"/>
    </w:rPr>
  </w:style>
  <w:style w:type="paragraph" w:styleId="Fuzeile">
    <w:name w:val="footer"/>
    <w:basedOn w:val="Standard"/>
    <w:link w:val="FuzeileZchn"/>
    <w:uiPriority w:val="99"/>
    <w:unhideWhenUsed/>
    <w:rsid w:val="002F6C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6C1D"/>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tmp"/><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2088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2013-08-13T21:51:00Z</dcterms:created>
  <dcterms:modified xsi:type="dcterms:W3CDTF">2013-08-13T21:51:00Z</dcterms:modified>
</cp:coreProperties>
</file>