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9B" w:rsidRDefault="0040249B" w:rsidP="0040249B">
      <w:pPr>
        <w:pStyle w:val="berschrift2"/>
        <w:numPr>
          <w:ilvl w:val="0"/>
          <w:numId w:val="0"/>
        </w:numPr>
        <w:ind w:left="576" w:hanging="576"/>
      </w:pPr>
      <w:bookmarkStart w:id="0" w:name="_Toc36420014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FA03" wp14:editId="5F9533E8">
                <wp:simplePos x="0" y="0"/>
                <wp:positionH relativeFrom="column">
                  <wp:posOffset>-20955</wp:posOffset>
                </wp:positionH>
                <wp:positionV relativeFrom="paragraph">
                  <wp:posOffset>575310</wp:posOffset>
                </wp:positionV>
                <wp:extent cx="5873115" cy="603250"/>
                <wp:effectExtent l="0" t="0" r="13335" b="25400"/>
                <wp:wrapSquare wrapText="bothSides"/>
                <wp:docPr id="6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603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249B" w:rsidRDefault="0040249B" w:rsidP="0040249B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In diesem Versuch geht es um den Einfluss der Konzentration auf das chemische Gleichgewicht. Hier bietet es sich an, das Massenwirkungsgesetz einzuführen bzw. zu wiederholen.</w:t>
                            </w:r>
                          </w:p>
                          <w:p w:rsidR="0040249B" w:rsidRPr="000D10FB" w:rsidRDefault="0040249B" w:rsidP="0040249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-1.65pt;margin-top:45.3pt;width:462.4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40249B" w:rsidRDefault="0040249B" w:rsidP="0040249B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In diesem Versuch geht es um den Einfluss der Konzentration auf das chemische Gleichgewicht. Hier bietet es sich an, das Massenwirkungsgesetz einzuführen bzw. zu wiederholen.</w:t>
                      </w:r>
                    </w:p>
                    <w:p w:rsidR="0040249B" w:rsidRPr="000D10FB" w:rsidRDefault="0040249B" w:rsidP="0040249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V 5 – Einfluss der Konzentration auf das chemische Gleichgewicht</w:t>
      </w:r>
      <w:bookmarkEnd w:id="0"/>
    </w:p>
    <w:p w:rsidR="0040249B" w:rsidRDefault="0040249B" w:rsidP="0040249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0249B" w:rsidRPr="009C5E28" w:rsidTr="0022634C">
        <w:tc>
          <w:tcPr>
            <w:tcW w:w="9322" w:type="dxa"/>
            <w:gridSpan w:val="9"/>
            <w:shd w:val="clear" w:color="auto" w:fill="4F81BD"/>
            <w:vAlign w:val="center"/>
          </w:tcPr>
          <w:p w:rsidR="0040249B" w:rsidRPr="009C5E28" w:rsidRDefault="0040249B" w:rsidP="0022634C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40249B" w:rsidRPr="009C5E28" w:rsidTr="002263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Eisen(III)</w:t>
            </w:r>
            <w:proofErr w:type="spellStart"/>
            <w:r>
              <w:rPr>
                <w:sz w:val="20"/>
              </w:rPr>
              <w:t>chlorid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 w:rsidRPr="004524A6">
              <w:rPr>
                <w:sz w:val="20"/>
              </w:rPr>
              <w:t>302-315-318-290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Pr="004524A6">
              <w:rPr>
                <w:sz w:val="20"/>
              </w:rPr>
              <w:t>28</w:t>
            </w:r>
            <w:r>
              <w:rPr>
                <w:sz w:val="20"/>
              </w:rPr>
              <w:t>0-​302+352-​305+351+338-​313</w:t>
            </w:r>
          </w:p>
        </w:tc>
      </w:tr>
      <w:tr w:rsidR="0040249B" w:rsidRPr="009C5E28" w:rsidTr="002263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Default="0040249B" w:rsidP="0022634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Ammoniumchlorid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H: </w:t>
            </w:r>
            <w:r w:rsidRPr="001853EA">
              <w:rPr>
                <w:sz w:val="20"/>
              </w:rPr>
              <w:t>302-319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P: </w:t>
            </w:r>
            <w:r w:rsidRPr="001853EA">
              <w:rPr>
                <w:sz w:val="20"/>
              </w:rPr>
              <w:t>305+351+3</w:t>
            </w:r>
            <w:r>
              <w:rPr>
                <w:sz w:val="20"/>
              </w:rPr>
              <w:t>38</w:t>
            </w:r>
          </w:p>
        </w:tc>
      </w:tr>
      <w:tr w:rsidR="0040249B" w:rsidRPr="009C5E28" w:rsidTr="002263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Default="0040249B" w:rsidP="0022634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40249B" w:rsidRPr="009C5E28" w:rsidTr="0022634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Ammoniumthiocyanat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0249B" w:rsidRPr="009C5E28" w:rsidRDefault="0040249B" w:rsidP="0022634C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 w:rsidRPr="001853EA">
              <w:t>332-312-302-412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0249B" w:rsidRPr="009C5E28" w:rsidRDefault="0040249B" w:rsidP="0022634C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273-​302+352</w:t>
            </w:r>
          </w:p>
        </w:tc>
      </w:tr>
      <w:tr w:rsidR="0040249B" w:rsidRPr="009C5E28" w:rsidTr="0022634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1BABC8C" wp14:editId="53E039E0">
                  <wp:extent cx="504190" cy="50419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19193F" wp14:editId="49EA5BAE">
                  <wp:extent cx="504190" cy="50419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CBFB3A" wp14:editId="3271B1D1">
                  <wp:extent cx="504190" cy="50419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BF7F48" wp14:editId="2382DDA0">
                  <wp:extent cx="504190" cy="50419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E7D0F40" wp14:editId="4EBEF912">
                  <wp:extent cx="504190" cy="5041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65F3E5" wp14:editId="554A4F30">
                  <wp:extent cx="504190" cy="50419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ECCCAB8" wp14:editId="3189A5FF">
                  <wp:extent cx="504190" cy="50419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B20779" wp14:editId="30D56CA6">
                  <wp:extent cx="511175" cy="511175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0249B" w:rsidRPr="009C5E28" w:rsidRDefault="0040249B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B5DEEB" wp14:editId="0A35A335">
                  <wp:extent cx="504190" cy="50419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4 Reagenzgläser, Pipette, </w:t>
      </w:r>
      <w:proofErr w:type="spellStart"/>
      <w:r>
        <w:t>Peleusball</w:t>
      </w:r>
      <w:proofErr w:type="spellEnd"/>
      <w:r>
        <w:t>, Spatel, Reagenzglasstopfen</w:t>
      </w:r>
    </w:p>
    <w:p w:rsidR="0040249B" w:rsidRPr="00ED07C2" w:rsidRDefault="0040249B" w:rsidP="0040249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Eisen(III)</w:t>
      </w:r>
      <w:proofErr w:type="spellStart"/>
      <w:r>
        <w:t>chlorid</w:t>
      </w:r>
      <w:proofErr w:type="spellEnd"/>
      <w:r>
        <w:t xml:space="preserve">, </w:t>
      </w:r>
      <w:proofErr w:type="spellStart"/>
      <w:r>
        <w:t>Ammoniumthiocyanat</w:t>
      </w:r>
      <w:proofErr w:type="spellEnd"/>
      <w:r>
        <w:t>, Ammoniumchlorid</w:t>
      </w:r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0,001mol Eisen(III)</w:t>
      </w:r>
      <w:proofErr w:type="spellStart"/>
      <w:r>
        <w:t>chlorid</w:t>
      </w:r>
      <w:proofErr w:type="spellEnd"/>
      <w:r>
        <w:t xml:space="preserve"> und 0,003mol </w:t>
      </w:r>
      <w:proofErr w:type="spellStart"/>
      <w:r>
        <w:t>Ammoniumthiocyanat</w:t>
      </w:r>
      <w:proofErr w:type="spellEnd"/>
      <w:r>
        <w:t xml:space="preserve"> werden in je 300  </w:t>
      </w:r>
      <w:proofErr w:type="spellStart"/>
      <w:r>
        <w:t>mL</w:t>
      </w:r>
      <w:proofErr w:type="spellEnd"/>
      <w:r>
        <w:t xml:space="preserve"> Wasser gelöst. Je 5 </w:t>
      </w:r>
      <w:proofErr w:type="spellStart"/>
      <w:r>
        <w:t>mL</w:t>
      </w:r>
      <w:proofErr w:type="spellEnd"/>
      <w:r>
        <w:t xml:space="preserve"> der Lösungen werden in 4 Reagenzgläser gegeben. In Reagenzglas A wird festes Eisenchlorid, in Reagenzglas B festes </w:t>
      </w:r>
      <w:proofErr w:type="spellStart"/>
      <w:r>
        <w:t>Ammoniumthiocyanat</w:t>
      </w:r>
      <w:proofErr w:type="spellEnd"/>
      <w:r>
        <w:t xml:space="preserve"> und in Reagenzglas D festes Ammoniumchlorid gegeben. Reagenzglas C dient als Ref</w:t>
      </w:r>
      <w:r>
        <w:t>e</w:t>
      </w:r>
      <w:r>
        <w:t>renz.</w:t>
      </w:r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Vor der Zugabe der Salze hat die Flüssigkeit in allen Reagenzgläsern die gleiche Farbe. Nach der Zugabe sind die Lösungen in Reagenzglas A und B dunkler, die in Reagenzglas D heller geworden.</w:t>
      </w:r>
    </w:p>
    <w:p w:rsidR="0040249B" w:rsidRDefault="0040249B" w:rsidP="0040249B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inline distT="0" distB="0" distL="0" distR="0" wp14:anchorId="46C2E6D2" wp14:editId="3E1DD377">
            <wp:extent cx="5760720" cy="3239135"/>
            <wp:effectExtent l="0" t="0" r="0" b="0"/>
            <wp:docPr id="102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52.jp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9B" w:rsidRDefault="0040249B" w:rsidP="0040249B">
      <w:pPr>
        <w:pStyle w:val="Beschriftung"/>
        <w:jc w:val="left"/>
        <w:rPr>
          <w:noProof/>
        </w:rPr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rPr>
          <w:noProof/>
        </w:rPr>
        <w:t>4</w:t>
      </w:r>
      <w:r>
        <w:t xml:space="preserve"> - </w:t>
      </w:r>
      <w:r>
        <w:rPr>
          <w:noProof/>
        </w:rPr>
        <w:t xml:space="preserve"> Versuchsaufbau V5.</w:t>
      </w:r>
    </w:p>
    <w:p w:rsidR="0040249B" w:rsidRDefault="0040249B" w:rsidP="0040249B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19465985" wp14:editId="3AE4FC43">
            <wp:extent cx="5760720" cy="3840480"/>
            <wp:effectExtent l="0" t="0" r="0" b="7620"/>
            <wp:docPr id="103" name="Grafi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05.JP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9B" w:rsidRPr="00013561" w:rsidRDefault="0040249B" w:rsidP="0040249B">
      <w:pPr>
        <w:spacing w:after="0" w:line="240" w:lineRule="auto"/>
        <w:rPr>
          <w:sz w:val="18"/>
        </w:rPr>
      </w:pPr>
      <w:r w:rsidRPr="00013561">
        <w:rPr>
          <w:sz w:val="18"/>
        </w:rPr>
        <w:t xml:space="preserve">Abb. 15: Beobachtung V5: Bei Zugabe von Edukten wird die Lösung dunkler, bei Zugabe von </w:t>
      </w:r>
    </w:p>
    <w:p w:rsidR="0040249B" w:rsidRPr="00013561" w:rsidRDefault="0040249B" w:rsidP="0040249B">
      <w:pPr>
        <w:spacing w:after="0" w:line="240" w:lineRule="auto"/>
        <w:rPr>
          <w:sz w:val="18"/>
        </w:rPr>
      </w:pPr>
      <w:r w:rsidRPr="00013561">
        <w:rPr>
          <w:sz w:val="18"/>
        </w:rPr>
        <w:t xml:space="preserve"> </w:t>
      </w:r>
      <w:r w:rsidRPr="00013561">
        <w:rPr>
          <w:sz w:val="18"/>
        </w:rPr>
        <w:tab/>
        <w:t xml:space="preserve">  Produkt wird die Lösung heller/orangefarben.</w:t>
      </w:r>
    </w:p>
    <w:p w:rsidR="0040249B" w:rsidRPr="00792D54" w:rsidRDefault="0040249B" w:rsidP="0040249B">
      <w:pPr>
        <w:spacing w:after="0" w:line="240" w:lineRule="auto"/>
      </w:pPr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Folgende Gleichgewichtsreaktion läuft ab:</w:t>
      </w:r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Fe</w:t>
      </w:r>
      <w:r w:rsidRPr="00E875F3">
        <w:rPr>
          <w:vertAlign w:val="superscript"/>
        </w:rPr>
        <w:t>3+</w:t>
      </w:r>
      <w:r w:rsidRPr="00413BC4">
        <w:rPr>
          <w:vertAlign w:val="subscript"/>
        </w:rPr>
        <w:t>(</w:t>
      </w:r>
      <w:proofErr w:type="spellStart"/>
      <w:r w:rsidRPr="00413BC4">
        <w:rPr>
          <w:vertAlign w:val="subscript"/>
        </w:rPr>
        <w:t>aq</w:t>
      </w:r>
      <w:proofErr w:type="spellEnd"/>
      <w:r w:rsidRPr="00413BC4">
        <w:rPr>
          <w:vertAlign w:val="subscript"/>
        </w:rPr>
        <w:t>)</w:t>
      </w:r>
      <w:r>
        <w:t xml:space="preserve"> + 3 SCN</w:t>
      </w:r>
      <w:r w:rsidRPr="00E875F3">
        <w:rPr>
          <w:vertAlign w:val="superscript"/>
        </w:rPr>
        <w:t>-</w:t>
      </w:r>
      <w:r w:rsidRPr="00413BC4">
        <w:rPr>
          <w:vertAlign w:val="subscript"/>
        </w:rPr>
        <w:t>(</w:t>
      </w:r>
      <w:proofErr w:type="spellStart"/>
      <w:r w:rsidRPr="00413BC4">
        <w:rPr>
          <w:vertAlign w:val="subscript"/>
        </w:rPr>
        <w:t>aq</w:t>
      </w:r>
      <w:proofErr w:type="spellEnd"/>
      <w:r w:rsidRPr="00413BC4">
        <w:rPr>
          <w:vertAlign w:val="subscript"/>
        </w:rPr>
        <w:t>)</w:t>
      </w:r>
      <w:r>
        <w:t xml:space="preserve"> ⇌ </w:t>
      </w:r>
      <w:proofErr w:type="spellStart"/>
      <w:r>
        <w:t>Fe</w:t>
      </w:r>
      <w:proofErr w:type="spellEnd"/>
      <w:r>
        <w:t>(SCN)</w:t>
      </w:r>
      <w:r w:rsidRPr="00413BC4">
        <w:rPr>
          <w:vertAlign w:val="subscript"/>
        </w:rPr>
        <w:t>3(</w:t>
      </w:r>
      <w:proofErr w:type="spellStart"/>
      <w:r w:rsidRPr="00413BC4">
        <w:rPr>
          <w:vertAlign w:val="subscript"/>
        </w:rPr>
        <w:t>aq</w:t>
      </w:r>
      <w:proofErr w:type="spellEnd"/>
      <w:r w:rsidRPr="00413BC4">
        <w:rPr>
          <w:vertAlign w:val="subscript"/>
        </w:rPr>
        <w:t>)</w:t>
      </w:r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  <w:t>In Reagenzglas C bleibt die Farbe der Lösung gleich. Das eingestellte Gleichgewicht bleibt bestehen. In Reagenzglas A und B werden Edukte hi</w:t>
      </w:r>
      <w:r>
        <w:t>n</w:t>
      </w:r>
      <w:r>
        <w:t>zugefügt. Die Lösung wird dunkler, das heißt, Produkt wird nachgebildet. In Reagenzglas C wird eines der Produkte hinzugegeben. Die Lösung wird he</w:t>
      </w:r>
      <w:r>
        <w:t>l</w:t>
      </w:r>
      <w:r>
        <w:t xml:space="preserve">ler, das heißt, die Lage des Gleichgewichts wird auf die </w:t>
      </w:r>
      <w:proofErr w:type="spellStart"/>
      <w:r>
        <w:t>Eduktseite</w:t>
      </w:r>
      <w:proofErr w:type="spellEnd"/>
      <w:r>
        <w:t xml:space="preserve"> versch</w:t>
      </w:r>
      <w:r>
        <w:t>o</w:t>
      </w:r>
      <w:r>
        <w:t>ben. Auch durch die Konzentrationsänderung von Stoffen wird ein Zwang ausgeübt, auf das das System reagiert, indem Stoffe verbraucht und andere nachgebildet werden.</w:t>
      </w:r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Das Massenwirkungsgesetz für diese Reaktion lautet folgendermaßen:</w:t>
      </w:r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c(Fe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SCN</m:t>
                    </m:r>
                  </m:e>
                </m:d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c(F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3+</m:t>
                </m:r>
              </m:sup>
            </m:sSup>
            <m:r>
              <w:rPr>
                <w:rFonts w:ascii="Cambria Math" w:hAnsi="Cambria Math"/>
              </w:rPr>
              <m:t>)∙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(SC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  <m:r>
              <w:rPr>
                <w:rFonts w:ascii="Cambria Math" w:hAnsi="Cambria Math"/>
              </w:rPr>
              <m:t>)</m:t>
            </m:r>
          </m:den>
        </m:f>
      </m:oMath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  <w:r>
        <w:t xml:space="preserve"> </w:t>
      </w:r>
      <w:r>
        <w:tab/>
      </w:r>
      <w:r>
        <w:tab/>
      </w:r>
      <w:proofErr w:type="spellStart"/>
      <w:r>
        <w:t>K</w:t>
      </w:r>
      <w:r w:rsidRPr="00413BC4">
        <w:rPr>
          <w:vertAlign w:val="subscript"/>
        </w:rPr>
        <w:t>c</w:t>
      </w:r>
      <w:proofErr w:type="spellEnd"/>
      <w:r>
        <w:t xml:space="preserve"> ist die Gleichgewichtskonstante, die bei einer gegebenen Temperatur und Reaktion gleich bleibt. Wird die Konzentration eines Stoffes verändert, werden andere Stoffe nachgebildet, sodass die obige Gleichung erfüllt wird.</w:t>
      </w:r>
    </w:p>
    <w:p w:rsidR="0040249B" w:rsidRDefault="0040249B" w:rsidP="0040249B">
      <w:pPr>
        <w:spacing w:after="0" w:line="276" w:lineRule="auto"/>
        <w:ind w:left="1980" w:hanging="1980"/>
        <w:jc w:val="left"/>
      </w:pPr>
      <w:r>
        <w:t>Entsorgung:</w:t>
      </w:r>
      <w:r>
        <w:tab/>
        <w:t>Die Lösungen gehören in den Schwermetalabfall.</w:t>
      </w:r>
    </w:p>
    <w:p w:rsidR="0040249B" w:rsidRDefault="0040249B" w:rsidP="0040249B">
      <w:pPr>
        <w:spacing w:after="0" w:line="276" w:lineRule="auto"/>
        <w:ind w:left="1980" w:hanging="1980"/>
        <w:jc w:val="left"/>
      </w:pPr>
    </w:p>
    <w:p w:rsidR="0040249B" w:rsidRDefault="0040249B" w:rsidP="0040249B">
      <w:pPr>
        <w:spacing w:after="0" w:line="276" w:lineRule="auto"/>
        <w:ind w:left="1980" w:hanging="1980"/>
        <w:jc w:val="left"/>
        <w:rPr>
          <w:color w:val="1F497D" w:themeColor="text2"/>
        </w:rPr>
      </w:pPr>
      <w:r>
        <w:t>Literatur:</w:t>
      </w:r>
      <w:r>
        <w:tab/>
      </w:r>
      <w:r>
        <w:tab/>
      </w:r>
      <w:r>
        <w:rPr>
          <w:color w:val="1F497D" w:themeColor="text2"/>
        </w:rPr>
        <w:t xml:space="preserve">Hoffmeister, Holger, </w:t>
      </w:r>
      <w:r w:rsidRPr="00854E23">
        <w:rPr>
          <w:color w:val="1F497D" w:themeColor="text2"/>
        </w:rPr>
        <w:t>http://www.hoffmeister.it/chemie/19-</w:t>
      </w:r>
      <w:r>
        <w:rPr>
          <w:color w:val="1F497D" w:themeColor="text2"/>
        </w:rPr>
        <w:t xml:space="preserve">  </w:t>
      </w:r>
    </w:p>
    <w:p w:rsidR="0040249B" w:rsidRDefault="0040249B" w:rsidP="0040249B">
      <w:pPr>
        <w:spacing w:after="0" w:line="276" w:lineRule="auto"/>
        <w:ind w:left="1980" w:hanging="1980"/>
        <w:jc w:val="left"/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</w:t>
      </w:r>
      <w:proofErr w:type="spellStart"/>
      <w:r w:rsidRPr="00854E23">
        <w:rPr>
          <w:color w:val="1F497D" w:themeColor="text2"/>
        </w:rPr>
        <w:t>das_chemische</w:t>
      </w:r>
      <w:proofErr w:type="spellEnd"/>
      <w:r>
        <w:rPr>
          <w:color w:val="1F497D" w:themeColor="text2"/>
        </w:rPr>
        <w:t xml:space="preserve"> </w:t>
      </w:r>
      <w:r w:rsidRPr="00854E23">
        <w:rPr>
          <w:color w:val="1F497D" w:themeColor="text2"/>
        </w:rPr>
        <w:t>_gleichgewicht.pdf</w:t>
      </w:r>
      <w:r>
        <w:rPr>
          <w:color w:val="1F497D" w:themeColor="text2"/>
        </w:rPr>
        <w:t xml:space="preserve"> (Zuletzt aufgerufen am 07.08.2013 um   </w:t>
      </w:r>
    </w:p>
    <w:p w:rsidR="0040249B" w:rsidRPr="005B60E3" w:rsidRDefault="0040249B" w:rsidP="0040249B">
      <w:pPr>
        <w:spacing w:after="0"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color w:val="1F497D" w:themeColor="text2"/>
        </w:rPr>
        <w:t xml:space="preserve">                                           11:16 Uhr), S. 22.</w:t>
      </w:r>
    </w:p>
    <w:p w:rsidR="0040249B" w:rsidRDefault="0040249B" w:rsidP="0040249B">
      <w:pPr>
        <w:tabs>
          <w:tab w:val="left" w:pos="1701"/>
          <w:tab w:val="left" w:pos="1985"/>
        </w:tabs>
        <w:ind w:left="1980" w:hanging="1980"/>
      </w:pPr>
    </w:p>
    <w:p w:rsidR="0040249B" w:rsidRPr="006E32AF" w:rsidRDefault="0040249B" w:rsidP="0040249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DAE71F9" wp14:editId="28576348">
                <wp:extent cx="5873115" cy="741872"/>
                <wp:effectExtent l="0" t="0" r="13335" b="20320"/>
                <wp:docPr id="6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4187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249B" w:rsidRDefault="0040249B" w:rsidP="0040249B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U</w:t>
                            </w:r>
                            <w:r w:rsidRPr="000D10FB">
                              <w:rPr>
                                <w:b/>
                                <w:color w:val="1F497D" w:themeColor="text2"/>
                              </w:rPr>
                              <w:t xml:space="preserve">nterrichtsanschlüsse </w:t>
                            </w:r>
                          </w:p>
                          <w:p w:rsidR="0040249B" w:rsidRPr="000D10FB" w:rsidRDefault="0040249B" w:rsidP="0040249B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Der Versuch steht in engem Zusammenhang mit V2 und V4 und sollte deshalb zeitnah mit ihnen durchgeführt und ausgewertet werden.</w:t>
                            </w:r>
                          </w:p>
                          <w:p w:rsidR="0040249B" w:rsidRPr="000D10FB" w:rsidRDefault="0040249B" w:rsidP="0040249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4" o:spid="_x0000_s1027" type="#_x0000_t202" style="width:462.4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40249B" w:rsidRDefault="0040249B" w:rsidP="0040249B">
                      <w:pPr>
                        <w:spacing w:after="0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U</w:t>
                      </w:r>
                      <w:r w:rsidRPr="000D10FB">
                        <w:rPr>
                          <w:b/>
                          <w:color w:val="1F497D" w:themeColor="text2"/>
                        </w:rPr>
                        <w:t xml:space="preserve">nterrichtsanschlüsse </w:t>
                      </w:r>
                    </w:p>
                    <w:p w:rsidR="0040249B" w:rsidRPr="000D10FB" w:rsidRDefault="0040249B" w:rsidP="0040249B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Der Versuch steht in engem Zusammenhang mit V2 und V4 und sollte deshalb zeitnah mit ihnen durchgeführt und ausgewertet werden.</w:t>
                      </w:r>
                    </w:p>
                    <w:p w:rsidR="0040249B" w:rsidRPr="000D10FB" w:rsidRDefault="0040249B" w:rsidP="0040249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6C4E" w:rsidRDefault="00146C4E"/>
    <w:sectPr w:rsidR="00146C4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0F" w:rsidRDefault="00AA740F" w:rsidP="0040249B">
      <w:pPr>
        <w:spacing w:after="0" w:line="240" w:lineRule="auto"/>
      </w:pPr>
      <w:r>
        <w:separator/>
      </w:r>
    </w:p>
  </w:endnote>
  <w:endnote w:type="continuationSeparator" w:id="0">
    <w:p w:rsidR="00AA740F" w:rsidRDefault="00AA740F" w:rsidP="0040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9B" w:rsidRDefault="0040249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9B" w:rsidRDefault="0040249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9B" w:rsidRDefault="004024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0F" w:rsidRDefault="00AA740F" w:rsidP="0040249B">
      <w:pPr>
        <w:spacing w:after="0" w:line="240" w:lineRule="auto"/>
      </w:pPr>
      <w:r>
        <w:separator/>
      </w:r>
    </w:p>
  </w:footnote>
  <w:footnote w:type="continuationSeparator" w:id="0">
    <w:p w:rsidR="00AA740F" w:rsidRDefault="00AA740F" w:rsidP="0040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9B" w:rsidRDefault="0040249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80188"/>
      <w:docPartObj>
        <w:docPartGallery w:val="Page Numbers (Top of Page)"/>
        <w:docPartUnique/>
      </w:docPartObj>
    </w:sdtPr>
    <w:sdtContent>
      <w:p w:rsidR="0040249B" w:rsidRDefault="0040249B" w:rsidP="0040249B">
        <w:pPr>
          <w:pStyle w:val="Kopfzeile"/>
        </w:pPr>
        <w:r>
          <w:t>V5 – Einfluss auf das chemische Gleichgewicht</w:t>
        </w:r>
        <w:r>
          <w:tab/>
        </w:r>
        <w:r>
          <w:tab/>
        </w:r>
        <w:bookmarkStart w:id="1" w:name="_GoBack"/>
        <w:bookmarkEnd w:id="1"/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249B" w:rsidRDefault="0040249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9B" w:rsidRDefault="0040249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9B"/>
    <w:rsid w:val="000065FE"/>
    <w:rsid w:val="000130BD"/>
    <w:rsid w:val="00014773"/>
    <w:rsid w:val="00015ECF"/>
    <w:rsid w:val="000238FF"/>
    <w:rsid w:val="000256FC"/>
    <w:rsid w:val="00026241"/>
    <w:rsid w:val="00046EAC"/>
    <w:rsid w:val="000514E2"/>
    <w:rsid w:val="00056674"/>
    <w:rsid w:val="00061FAA"/>
    <w:rsid w:val="00065A21"/>
    <w:rsid w:val="000819D1"/>
    <w:rsid w:val="00081FB2"/>
    <w:rsid w:val="000858DE"/>
    <w:rsid w:val="00090161"/>
    <w:rsid w:val="00090955"/>
    <w:rsid w:val="00094A4E"/>
    <w:rsid w:val="0009613F"/>
    <w:rsid w:val="000A0B6E"/>
    <w:rsid w:val="000A20EE"/>
    <w:rsid w:val="000A52E2"/>
    <w:rsid w:val="000A5DD9"/>
    <w:rsid w:val="000B52A4"/>
    <w:rsid w:val="000D0C15"/>
    <w:rsid w:val="000D4224"/>
    <w:rsid w:val="000E3AAB"/>
    <w:rsid w:val="000F7F0D"/>
    <w:rsid w:val="00100809"/>
    <w:rsid w:val="00107FD0"/>
    <w:rsid w:val="00112C34"/>
    <w:rsid w:val="001171D0"/>
    <w:rsid w:val="00126483"/>
    <w:rsid w:val="001308A9"/>
    <w:rsid w:val="00131784"/>
    <w:rsid w:val="0013533E"/>
    <w:rsid w:val="00145173"/>
    <w:rsid w:val="00146C4E"/>
    <w:rsid w:val="00153C0E"/>
    <w:rsid w:val="00153D0C"/>
    <w:rsid w:val="00163072"/>
    <w:rsid w:val="0016439B"/>
    <w:rsid w:val="001751B1"/>
    <w:rsid w:val="00175932"/>
    <w:rsid w:val="00182888"/>
    <w:rsid w:val="00186020"/>
    <w:rsid w:val="00190650"/>
    <w:rsid w:val="001926F5"/>
    <w:rsid w:val="001A17C8"/>
    <w:rsid w:val="001A26B9"/>
    <w:rsid w:val="001A5633"/>
    <w:rsid w:val="001A5F07"/>
    <w:rsid w:val="001A5FBD"/>
    <w:rsid w:val="001B293E"/>
    <w:rsid w:val="001E6118"/>
    <w:rsid w:val="00232568"/>
    <w:rsid w:val="00236E56"/>
    <w:rsid w:val="00250DB5"/>
    <w:rsid w:val="00252BB1"/>
    <w:rsid w:val="00254EC4"/>
    <w:rsid w:val="002561B3"/>
    <w:rsid w:val="00257564"/>
    <w:rsid w:val="00257BB1"/>
    <w:rsid w:val="00264ED4"/>
    <w:rsid w:val="00274BA6"/>
    <w:rsid w:val="002858D4"/>
    <w:rsid w:val="00293B1B"/>
    <w:rsid w:val="0029481A"/>
    <w:rsid w:val="002A6B1D"/>
    <w:rsid w:val="002B66CC"/>
    <w:rsid w:val="002C082D"/>
    <w:rsid w:val="002C26B4"/>
    <w:rsid w:val="002D021D"/>
    <w:rsid w:val="002D10AA"/>
    <w:rsid w:val="002D2651"/>
    <w:rsid w:val="002D4F67"/>
    <w:rsid w:val="002D52E4"/>
    <w:rsid w:val="002D5BE2"/>
    <w:rsid w:val="002E7AFF"/>
    <w:rsid w:val="002F1E33"/>
    <w:rsid w:val="003003CE"/>
    <w:rsid w:val="003022F6"/>
    <w:rsid w:val="00312138"/>
    <w:rsid w:val="00321409"/>
    <w:rsid w:val="00326ABC"/>
    <w:rsid w:val="003275B8"/>
    <w:rsid w:val="00343F5A"/>
    <w:rsid w:val="003603F7"/>
    <w:rsid w:val="00362B9A"/>
    <w:rsid w:val="00375F5E"/>
    <w:rsid w:val="0038541D"/>
    <w:rsid w:val="00386A3B"/>
    <w:rsid w:val="00392BA6"/>
    <w:rsid w:val="0039351B"/>
    <w:rsid w:val="003A0C84"/>
    <w:rsid w:val="003A0E6B"/>
    <w:rsid w:val="003B0D87"/>
    <w:rsid w:val="003B1C5F"/>
    <w:rsid w:val="003D0DFB"/>
    <w:rsid w:val="003D46ED"/>
    <w:rsid w:val="003D5536"/>
    <w:rsid w:val="003D62CB"/>
    <w:rsid w:val="003E57FD"/>
    <w:rsid w:val="003E62F3"/>
    <w:rsid w:val="003E6585"/>
    <w:rsid w:val="003F26F3"/>
    <w:rsid w:val="003F7A7A"/>
    <w:rsid w:val="0040249B"/>
    <w:rsid w:val="0040359F"/>
    <w:rsid w:val="00403ACC"/>
    <w:rsid w:val="0041518A"/>
    <w:rsid w:val="00434027"/>
    <w:rsid w:val="00450352"/>
    <w:rsid w:val="0045171D"/>
    <w:rsid w:val="00456F78"/>
    <w:rsid w:val="004572F9"/>
    <w:rsid w:val="00460229"/>
    <w:rsid w:val="00463827"/>
    <w:rsid w:val="00472E25"/>
    <w:rsid w:val="00483430"/>
    <w:rsid w:val="004868B9"/>
    <w:rsid w:val="004953A2"/>
    <w:rsid w:val="004A0B18"/>
    <w:rsid w:val="004A698B"/>
    <w:rsid w:val="004B00F8"/>
    <w:rsid w:val="004C20DA"/>
    <w:rsid w:val="004C3B11"/>
    <w:rsid w:val="004D0448"/>
    <w:rsid w:val="004D11C5"/>
    <w:rsid w:val="004D2A8A"/>
    <w:rsid w:val="004D44BF"/>
    <w:rsid w:val="004D4681"/>
    <w:rsid w:val="004E4097"/>
    <w:rsid w:val="00502AF6"/>
    <w:rsid w:val="0050732C"/>
    <w:rsid w:val="00517B77"/>
    <w:rsid w:val="00524FD9"/>
    <w:rsid w:val="00525D63"/>
    <w:rsid w:val="0052675B"/>
    <w:rsid w:val="00532503"/>
    <w:rsid w:val="005367B5"/>
    <w:rsid w:val="00536A81"/>
    <w:rsid w:val="00546CE2"/>
    <w:rsid w:val="005500BF"/>
    <w:rsid w:val="005715EA"/>
    <w:rsid w:val="00574D42"/>
    <w:rsid w:val="00587415"/>
    <w:rsid w:val="005972C6"/>
    <w:rsid w:val="005B45BA"/>
    <w:rsid w:val="005B4B2A"/>
    <w:rsid w:val="005C1916"/>
    <w:rsid w:val="005C20C5"/>
    <w:rsid w:val="005C38A8"/>
    <w:rsid w:val="005C4EA3"/>
    <w:rsid w:val="005D167D"/>
    <w:rsid w:val="005E6A5A"/>
    <w:rsid w:val="005E7449"/>
    <w:rsid w:val="005E7743"/>
    <w:rsid w:val="005F289D"/>
    <w:rsid w:val="005F4081"/>
    <w:rsid w:val="00600BC8"/>
    <w:rsid w:val="0061374D"/>
    <w:rsid w:val="00614338"/>
    <w:rsid w:val="006149BF"/>
    <w:rsid w:val="00615F9E"/>
    <w:rsid w:val="00616F69"/>
    <w:rsid w:val="0062310E"/>
    <w:rsid w:val="006278DC"/>
    <w:rsid w:val="00633B59"/>
    <w:rsid w:val="006346E0"/>
    <w:rsid w:val="00643C2E"/>
    <w:rsid w:val="0064416F"/>
    <w:rsid w:val="00644FED"/>
    <w:rsid w:val="00646978"/>
    <w:rsid w:val="00652ADA"/>
    <w:rsid w:val="00655F38"/>
    <w:rsid w:val="00656DEF"/>
    <w:rsid w:val="006637F2"/>
    <w:rsid w:val="00672764"/>
    <w:rsid w:val="0067315E"/>
    <w:rsid w:val="00675FC1"/>
    <w:rsid w:val="00681DFC"/>
    <w:rsid w:val="00686CCE"/>
    <w:rsid w:val="006949F5"/>
    <w:rsid w:val="006A1E0A"/>
    <w:rsid w:val="006A3130"/>
    <w:rsid w:val="006B00BD"/>
    <w:rsid w:val="006B055B"/>
    <w:rsid w:val="006B1F87"/>
    <w:rsid w:val="006C3FDF"/>
    <w:rsid w:val="006C4258"/>
    <w:rsid w:val="006D20AF"/>
    <w:rsid w:val="006F080B"/>
    <w:rsid w:val="006F3250"/>
    <w:rsid w:val="006F5A20"/>
    <w:rsid w:val="00705979"/>
    <w:rsid w:val="00712BC2"/>
    <w:rsid w:val="00720104"/>
    <w:rsid w:val="00720EFC"/>
    <w:rsid w:val="00731495"/>
    <w:rsid w:val="00734840"/>
    <w:rsid w:val="00740B3E"/>
    <w:rsid w:val="007454AB"/>
    <w:rsid w:val="00750E76"/>
    <w:rsid w:val="007550A5"/>
    <w:rsid w:val="007635B2"/>
    <w:rsid w:val="00776DEB"/>
    <w:rsid w:val="007859EE"/>
    <w:rsid w:val="0078741F"/>
    <w:rsid w:val="00787779"/>
    <w:rsid w:val="0079294C"/>
    <w:rsid w:val="0079482A"/>
    <w:rsid w:val="007A2261"/>
    <w:rsid w:val="007A58B5"/>
    <w:rsid w:val="007A60BF"/>
    <w:rsid w:val="007A611E"/>
    <w:rsid w:val="007B3D0F"/>
    <w:rsid w:val="007C2056"/>
    <w:rsid w:val="007D08C5"/>
    <w:rsid w:val="007E59AE"/>
    <w:rsid w:val="007E7771"/>
    <w:rsid w:val="007F116D"/>
    <w:rsid w:val="007F3556"/>
    <w:rsid w:val="00800FC7"/>
    <w:rsid w:val="00802CB7"/>
    <w:rsid w:val="008064E5"/>
    <w:rsid w:val="00811BAA"/>
    <w:rsid w:val="008337CD"/>
    <w:rsid w:val="00836D12"/>
    <w:rsid w:val="008579AE"/>
    <w:rsid w:val="00864BD1"/>
    <w:rsid w:val="00867A30"/>
    <w:rsid w:val="008708AB"/>
    <w:rsid w:val="00874F9E"/>
    <w:rsid w:val="00877FBA"/>
    <w:rsid w:val="00883E0B"/>
    <w:rsid w:val="00886926"/>
    <w:rsid w:val="008901CF"/>
    <w:rsid w:val="0089108A"/>
    <w:rsid w:val="008911BD"/>
    <w:rsid w:val="008A2E38"/>
    <w:rsid w:val="008B6713"/>
    <w:rsid w:val="008C0EB5"/>
    <w:rsid w:val="008C2388"/>
    <w:rsid w:val="008D00EC"/>
    <w:rsid w:val="008D2B64"/>
    <w:rsid w:val="008D3581"/>
    <w:rsid w:val="0090293C"/>
    <w:rsid w:val="00912028"/>
    <w:rsid w:val="009353C3"/>
    <w:rsid w:val="009411FC"/>
    <w:rsid w:val="00944C16"/>
    <w:rsid w:val="0094711B"/>
    <w:rsid w:val="00952959"/>
    <w:rsid w:val="0095629A"/>
    <w:rsid w:val="00960044"/>
    <w:rsid w:val="00960DE8"/>
    <w:rsid w:val="00976827"/>
    <w:rsid w:val="00977098"/>
    <w:rsid w:val="009812BB"/>
    <w:rsid w:val="00982A9A"/>
    <w:rsid w:val="00983B3A"/>
    <w:rsid w:val="009B7964"/>
    <w:rsid w:val="009C650F"/>
    <w:rsid w:val="009D1431"/>
    <w:rsid w:val="009D4A00"/>
    <w:rsid w:val="009D71C6"/>
    <w:rsid w:val="009E5644"/>
    <w:rsid w:val="009E7609"/>
    <w:rsid w:val="009F043B"/>
    <w:rsid w:val="009F3E13"/>
    <w:rsid w:val="009F5671"/>
    <w:rsid w:val="009F77BA"/>
    <w:rsid w:val="009F79A8"/>
    <w:rsid w:val="00A038D7"/>
    <w:rsid w:val="00A10603"/>
    <w:rsid w:val="00A1701B"/>
    <w:rsid w:val="00A2200B"/>
    <w:rsid w:val="00A22EB6"/>
    <w:rsid w:val="00A24303"/>
    <w:rsid w:val="00A359FD"/>
    <w:rsid w:val="00A3747E"/>
    <w:rsid w:val="00A42DC0"/>
    <w:rsid w:val="00A5155A"/>
    <w:rsid w:val="00A5219F"/>
    <w:rsid w:val="00A600AD"/>
    <w:rsid w:val="00A65F6F"/>
    <w:rsid w:val="00A74ABC"/>
    <w:rsid w:val="00A8632D"/>
    <w:rsid w:val="00A91C01"/>
    <w:rsid w:val="00AA0E4F"/>
    <w:rsid w:val="00AA2EF2"/>
    <w:rsid w:val="00AA47FE"/>
    <w:rsid w:val="00AA740F"/>
    <w:rsid w:val="00AB3279"/>
    <w:rsid w:val="00AB4346"/>
    <w:rsid w:val="00AB70D4"/>
    <w:rsid w:val="00AC4CE3"/>
    <w:rsid w:val="00AD2ECE"/>
    <w:rsid w:val="00AD3400"/>
    <w:rsid w:val="00AD6D93"/>
    <w:rsid w:val="00AD6D9C"/>
    <w:rsid w:val="00AF1ABC"/>
    <w:rsid w:val="00AF6015"/>
    <w:rsid w:val="00AF69DC"/>
    <w:rsid w:val="00B13B72"/>
    <w:rsid w:val="00B2463B"/>
    <w:rsid w:val="00B24F91"/>
    <w:rsid w:val="00B25C5E"/>
    <w:rsid w:val="00B30CE1"/>
    <w:rsid w:val="00B3129E"/>
    <w:rsid w:val="00B46297"/>
    <w:rsid w:val="00B50599"/>
    <w:rsid w:val="00B517A7"/>
    <w:rsid w:val="00B6334F"/>
    <w:rsid w:val="00B67771"/>
    <w:rsid w:val="00B70225"/>
    <w:rsid w:val="00B74C8F"/>
    <w:rsid w:val="00B95596"/>
    <w:rsid w:val="00BA3AD3"/>
    <w:rsid w:val="00BB1642"/>
    <w:rsid w:val="00BB26DE"/>
    <w:rsid w:val="00BD2513"/>
    <w:rsid w:val="00BD300F"/>
    <w:rsid w:val="00BD52BD"/>
    <w:rsid w:val="00BD6542"/>
    <w:rsid w:val="00BD706B"/>
    <w:rsid w:val="00BD708D"/>
    <w:rsid w:val="00BD75CB"/>
    <w:rsid w:val="00BE6511"/>
    <w:rsid w:val="00BF005A"/>
    <w:rsid w:val="00BF2F49"/>
    <w:rsid w:val="00BF5B21"/>
    <w:rsid w:val="00C1277A"/>
    <w:rsid w:val="00C127CE"/>
    <w:rsid w:val="00C17325"/>
    <w:rsid w:val="00C20464"/>
    <w:rsid w:val="00C20DE9"/>
    <w:rsid w:val="00C23EEB"/>
    <w:rsid w:val="00C24401"/>
    <w:rsid w:val="00C343DD"/>
    <w:rsid w:val="00C35D69"/>
    <w:rsid w:val="00C43ECB"/>
    <w:rsid w:val="00C4478D"/>
    <w:rsid w:val="00C454E6"/>
    <w:rsid w:val="00C45EFB"/>
    <w:rsid w:val="00C557D7"/>
    <w:rsid w:val="00C55FE4"/>
    <w:rsid w:val="00C574B8"/>
    <w:rsid w:val="00C6202A"/>
    <w:rsid w:val="00C63B8E"/>
    <w:rsid w:val="00C75562"/>
    <w:rsid w:val="00C80B4E"/>
    <w:rsid w:val="00C9024B"/>
    <w:rsid w:val="00C93831"/>
    <w:rsid w:val="00CA1589"/>
    <w:rsid w:val="00CA2B8D"/>
    <w:rsid w:val="00CA7047"/>
    <w:rsid w:val="00CB6E09"/>
    <w:rsid w:val="00CB774D"/>
    <w:rsid w:val="00CD29DF"/>
    <w:rsid w:val="00CD75B6"/>
    <w:rsid w:val="00CE446E"/>
    <w:rsid w:val="00CE55C7"/>
    <w:rsid w:val="00D11130"/>
    <w:rsid w:val="00D16090"/>
    <w:rsid w:val="00D22426"/>
    <w:rsid w:val="00D24119"/>
    <w:rsid w:val="00D26791"/>
    <w:rsid w:val="00D26F4A"/>
    <w:rsid w:val="00D3541E"/>
    <w:rsid w:val="00D543D5"/>
    <w:rsid w:val="00D5555A"/>
    <w:rsid w:val="00D557FA"/>
    <w:rsid w:val="00D670DF"/>
    <w:rsid w:val="00D732BE"/>
    <w:rsid w:val="00D81408"/>
    <w:rsid w:val="00D8234C"/>
    <w:rsid w:val="00D90922"/>
    <w:rsid w:val="00D90E92"/>
    <w:rsid w:val="00D91BCD"/>
    <w:rsid w:val="00D922A9"/>
    <w:rsid w:val="00D92645"/>
    <w:rsid w:val="00D97559"/>
    <w:rsid w:val="00DC355A"/>
    <w:rsid w:val="00DC5F2A"/>
    <w:rsid w:val="00DC7C60"/>
    <w:rsid w:val="00DD0F9C"/>
    <w:rsid w:val="00DD2D8D"/>
    <w:rsid w:val="00DE41BF"/>
    <w:rsid w:val="00DF41E7"/>
    <w:rsid w:val="00DF78FA"/>
    <w:rsid w:val="00E1115D"/>
    <w:rsid w:val="00E201D2"/>
    <w:rsid w:val="00E20CF3"/>
    <w:rsid w:val="00E23505"/>
    <w:rsid w:val="00E265CA"/>
    <w:rsid w:val="00E34AED"/>
    <w:rsid w:val="00E359DB"/>
    <w:rsid w:val="00E44204"/>
    <w:rsid w:val="00E44DB9"/>
    <w:rsid w:val="00E4654F"/>
    <w:rsid w:val="00E5009F"/>
    <w:rsid w:val="00E60F76"/>
    <w:rsid w:val="00E63507"/>
    <w:rsid w:val="00E65374"/>
    <w:rsid w:val="00E7582C"/>
    <w:rsid w:val="00E7737E"/>
    <w:rsid w:val="00E83C9C"/>
    <w:rsid w:val="00E864EE"/>
    <w:rsid w:val="00E9129D"/>
    <w:rsid w:val="00E93332"/>
    <w:rsid w:val="00E97C65"/>
    <w:rsid w:val="00EA75B2"/>
    <w:rsid w:val="00EB307F"/>
    <w:rsid w:val="00EB3E66"/>
    <w:rsid w:val="00EB6349"/>
    <w:rsid w:val="00EB699D"/>
    <w:rsid w:val="00EB7419"/>
    <w:rsid w:val="00ED4792"/>
    <w:rsid w:val="00EE131D"/>
    <w:rsid w:val="00EF42E5"/>
    <w:rsid w:val="00EF75DE"/>
    <w:rsid w:val="00F06D05"/>
    <w:rsid w:val="00F118F3"/>
    <w:rsid w:val="00F17175"/>
    <w:rsid w:val="00F23943"/>
    <w:rsid w:val="00F3357E"/>
    <w:rsid w:val="00F33B29"/>
    <w:rsid w:val="00F37AA0"/>
    <w:rsid w:val="00F41D35"/>
    <w:rsid w:val="00F57F6C"/>
    <w:rsid w:val="00F606A8"/>
    <w:rsid w:val="00F64553"/>
    <w:rsid w:val="00F71821"/>
    <w:rsid w:val="00F755C5"/>
    <w:rsid w:val="00F909D6"/>
    <w:rsid w:val="00F9167F"/>
    <w:rsid w:val="00F917E9"/>
    <w:rsid w:val="00FA1162"/>
    <w:rsid w:val="00FA16C2"/>
    <w:rsid w:val="00FA3A10"/>
    <w:rsid w:val="00FA78C0"/>
    <w:rsid w:val="00FB7AE3"/>
    <w:rsid w:val="00FC0D2B"/>
    <w:rsid w:val="00FD16F0"/>
    <w:rsid w:val="00FD594B"/>
    <w:rsid w:val="00FE1AA1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49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249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249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249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24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24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24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24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24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24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249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249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249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24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24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24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24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24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24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0249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49B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0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249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40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249B"/>
    <w:rPr>
      <w:rFonts w:ascii="Cambria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49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249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249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249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24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24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24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24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24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24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249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249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249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24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24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24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24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24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24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0249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49B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0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249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40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249B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hdphoto" Target="media/hdphoto1.wdp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2013-08-13T21:49:00Z</dcterms:created>
  <dcterms:modified xsi:type="dcterms:W3CDTF">2013-08-13T21:50:00Z</dcterms:modified>
</cp:coreProperties>
</file>