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D0D" w:rsidRDefault="00724FCF" w:rsidP="00902D0D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.05pt;margin-top:57.85pt;width:462.45pt;height:57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 style="mso-next-textbox:#_x0000_s1038">
              <w:txbxContent>
                <w:p w:rsidR="00902D0D" w:rsidRPr="00A32D4D" w:rsidRDefault="00902D0D" w:rsidP="00902D0D">
                  <w:pPr>
                    <w:rPr>
                      <w:color w:val="auto"/>
                    </w:rPr>
                  </w:pPr>
                  <w:r w:rsidRPr="00A32D4D">
                    <w:rPr>
                      <w:color w:val="auto"/>
                    </w:rPr>
                    <w:t xml:space="preserve">Ketone können in einer einfachen Farbreaktion mit 2,4-Dinitrophenylhydrazin nachgewiesen werden. Die SuS sollten hierzu die funktionelle Gruppe von Ketonen </w:t>
                  </w:r>
                  <w:r>
                    <w:rPr>
                      <w:color w:val="auto"/>
                    </w:rPr>
                    <w:t>und Kondensationsreakt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 xml:space="preserve">onen </w:t>
                  </w:r>
                  <w:r w:rsidRPr="00A32D4D">
                    <w:rPr>
                      <w:color w:val="auto"/>
                    </w:rPr>
                    <w:t xml:space="preserve">kennen. </w:t>
                  </w:r>
                </w:p>
              </w:txbxContent>
            </v:textbox>
            <w10:wrap type="square"/>
          </v:shape>
        </w:pict>
      </w:r>
      <w:bookmarkStart w:id="0" w:name="_Toc363670266"/>
      <w:r w:rsidR="00902D0D">
        <w:t>V 3 – Nachweis von Ketonen</w:t>
      </w:r>
      <w:bookmarkEnd w:id="0"/>
    </w:p>
    <w:p w:rsidR="00902D0D" w:rsidRDefault="00902D0D" w:rsidP="00902D0D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02D0D" w:rsidRPr="00CD03BD" w:rsidTr="000200FE">
        <w:tc>
          <w:tcPr>
            <w:tcW w:w="9322" w:type="dxa"/>
            <w:gridSpan w:val="9"/>
            <w:shd w:val="clear" w:color="auto" w:fill="4F81BD"/>
            <w:vAlign w:val="center"/>
          </w:tcPr>
          <w:p w:rsidR="00902D0D" w:rsidRPr="00CD03BD" w:rsidRDefault="00902D0D" w:rsidP="000200FE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902D0D" w:rsidRPr="00CD03BD" w:rsidTr="000200F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061150" w:rsidRDefault="00902D0D" w:rsidP="000200FE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 w:rsidRPr="00061150">
              <w:rPr>
                <w:sz w:val="20"/>
                <w:szCs w:val="20"/>
              </w:rPr>
              <w:t>2,4-Dinitrophenylhydrazin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228-302-319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210-305+351+338</w:t>
            </w:r>
          </w:p>
        </w:tc>
      </w:tr>
      <w:tr w:rsidR="00902D0D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Konz</w:t>
            </w:r>
            <w:proofErr w:type="spellEnd"/>
            <w:r>
              <w:rPr>
                <w:bCs/>
                <w:sz w:val="20"/>
              </w:rPr>
              <w:t>. Salzsäure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02D0D" w:rsidRPr="00CD03BD" w:rsidRDefault="00902D0D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314-335-290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02D0D" w:rsidRPr="00CD03BD" w:rsidRDefault="00902D0D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280-301+330+331-305+351+338</w:t>
            </w:r>
          </w:p>
        </w:tc>
      </w:tr>
      <w:tr w:rsidR="00902D0D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02D0D" w:rsidRDefault="00902D0D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Destilliertes Wasser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02D0D" w:rsidRPr="00CD03BD" w:rsidRDefault="00902D0D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02D0D" w:rsidRPr="00CD03BD" w:rsidRDefault="00902D0D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902D0D" w:rsidRPr="00CD03BD" w:rsidTr="000200F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3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31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34838" cy="534838"/>
                  <wp:effectExtent l="0" t="0" r="0" b="0"/>
                  <wp:docPr id="136" name="Bild 11" descr="C:\Users\Anne\AppData\Local\Temp\Rar$DI04.761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\AppData\Local\Temp\Rar$DI04.761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95" cy="53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2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2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30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3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13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02D0D" w:rsidRPr="00CD03BD" w:rsidRDefault="00902D0D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34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D0D" w:rsidRDefault="00902D0D" w:rsidP="00902D0D">
      <w:pPr>
        <w:tabs>
          <w:tab w:val="left" w:pos="1701"/>
          <w:tab w:val="left" w:pos="1985"/>
        </w:tabs>
        <w:ind w:left="1980" w:hanging="1980"/>
      </w:pPr>
    </w:p>
    <w:p w:rsidR="00902D0D" w:rsidRDefault="00902D0D" w:rsidP="00902D0D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Becherglas (250 </w:t>
      </w:r>
      <w:proofErr w:type="spellStart"/>
      <w:r>
        <w:t>mL</w:t>
      </w:r>
      <w:proofErr w:type="spellEnd"/>
      <w:r>
        <w:t>), Reagenzglas, Pipetten</w:t>
      </w:r>
    </w:p>
    <w:p w:rsidR="00902D0D" w:rsidRPr="00ED07C2" w:rsidRDefault="00902D0D" w:rsidP="00902D0D">
      <w:pPr>
        <w:tabs>
          <w:tab w:val="left" w:pos="1843"/>
        </w:tabs>
        <w:ind w:left="1985" w:hanging="1980"/>
      </w:pPr>
      <w:r>
        <w:t>Chemikalien:</w:t>
      </w:r>
      <w:r>
        <w:tab/>
      </w:r>
      <w:r>
        <w:tab/>
        <w:t xml:space="preserve">2,4-Dinitrophenylhydrazin, </w:t>
      </w:r>
      <w:proofErr w:type="spellStart"/>
      <w:r>
        <w:t>Konz</w:t>
      </w:r>
      <w:proofErr w:type="spellEnd"/>
      <w:r>
        <w:t>. Salzsäure, destilliertes Wasser</w:t>
      </w:r>
    </w:p>
    <w:p w:rsidR="00902D0D" w:rsidRDefault="00902D0D" w:rsidP="00902D0D">
      <w:pPr>
        <w:tabs>
          <w:tab w:val="left" w:pos="1926"/>
        </w:tabs>
        <w:ind w:left="1920" w:hanging="1920"/>
      </w:pPr>
      <w:r>
        <w:t xml:space="preserve">Durchführung: </w:t>
      </w:r>
      <w:r>
        <w:tab/>
      </w:r>
      <w:r>
        <w:tab/>
        <w:t xml:space="preserve">0,4 g 2,4-Dinitrophenylhydrazin werden mit 10 ml </w:t>
      </w:r>
      <w:proofErr w:type="spellStart"/>
      <w:r>
        <w:t>konz</w:t>
      </w:r>
      <w:proofErr w:type="spellEnd"/>
      <w:r>
        <w:t xml:space="preserve">. Salzsäure und 200 </w:t>
      </w:r>
      <w:proofErr w:type="spellStart"/>
      <w:r>
        <w:t>mL</w:t>
      </w:r>
      <w:proofErr w:type="spellEnd"/>
      <w:r>
        <w:t xml:space="preserve"> Wasser versetzt und kräftig geschüttelt. Ein Teil der Lösung wird in ein Reagenzglas überführt und 1 </w:t>
      </w:r>
      <w:proofErr w:type="spellStart"/>
      <w:r>
        <w:t>mL</w:t>
      </w:r>
      <w:proofErr w:type="spellEnd"/>
      <w:r>
        <w:t xml:space="preserve"> Aceton zugegeben.</w:t>
      </w:r>
    </w:p>
    <w:p w:rsidR="00902D0D" w:rsidRDefault="00902D0D" w:rsidP="00902D0D">
      <w:pPr>
        <w:tabs>
          <w:tab w:val="left" w:pos="1926"/>
        </w:tabs>
        <w:ind w:left="1920" w:hanging="1920"/>
      </w:pPr>
      <w:r>
        <w:t>Beobachtung:</w:t>
      </w:r>
      <w:r>
        <w:tab/>
        <w:t>Aus der gelblich-klaren Lösung fällt bei Zugabe des Acetons ein gelber Ni</w:t>
      </w:r>
      <w:r>
        <w:t>e</w:t>
      </w:r>
      <w:r>
        <w:t>derschlag aus.</w:t>
      </w:r>
    </w:p>
    <w:p w:rsidR="00902D0D" w:rsidRDefault="00902D0D" w:rsidP="00902D0D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370467" cy="2428863"/>
            <wp:effectExtent l="19050" t="0" r="0" b="0"/>
            <wp:docPr id="193" name="Bild 19" descr="F:\DCIM\100CANON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CANON\IMG_14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 contrast="20000"/>
                    </a:blip>
                    <a:srcRect l="28421" t="20160" r="15580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24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0D" w:rsidRDefault="00902D0D" w:rsidP="00902D0D">
      <w:pPr>
        <w:pStyle w:val="Beschriftung"/>
        <w:jc w:val="left"/>
      </w:pPr>
      <w:r>
        <w:t xml:space="preserve">Abb. 3 - </w:t>
      </w:r>
      <w:r>
        <w:rPr>
          <w:noProof/>
        </w:rPr>
        <w:t xml:space="preserve"> Nachweis von Aceton mit einer sauren </w:t>
      </w:r>
      <w:r>
        <w:t xml:space="preserve">2,4-Dinitrophenylhydrazin Lösung </w:t>
      </w:r>
      <w:r>
        <w:rPr>
          <w:noProof/>
        </w:rPr>
        <w:t>(rechts); Vergleichslösung (links)</w:t>
      </w:r>
    </w:p>
    <w:p w:rsidR="00902D0D" w:rsidRDefault="00902D0D" w:rsidP="00902D0D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>Bei der Kondensationsreaktion von 2,4-Dinitrophenylhydrazin mit Aceton fällt unter sauren Bedingungen ein orange gefärbter Niederschlag von 2,4-Dinitrophenylhydrazon aus.</w:t>
      </w:r>
      <w:r>
        <w:tab/>
      </w:r>
    </w:p>
    <w:p w:rsidR="00902D0D" w:rsidRDefault="00EA694F" w:rsidP="00902D0D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pict>
          <v:shape id="_x0000_s1041" type="#_x0000_t202" style="position:absolute;left:0;text-align:left;margin-left:272.7pt;margin-top:6.2pt;width:40.2pt;height:24.3pt;z-index:251661312" filled="f" stroked="f">
            <v:textbox style="mso-next-textbox:#_x0000_s1041">
              <w:txbxContent>
                <w:p w:rsidR="00EA694F" w:rsidRPr="00477D9B" w:rsidRDefault="00EA694F" w:rsidP="00EA694F">
                  <w:r>
                    <w:t>- H</w:t>
                  </w:r>
                  <w:r>
                    <w:rPr>
                      <w:vertAlign w:val="subscript"/>
                    </w:rPr>
                    <w:t>2</w:t>
                  </w:r>
                  <w:r>
                    <w:t>O</w:t>
                  </w:r>
                </w:p>
              </w:txbxContent>
            </v:textbox>
          </v:shape>
        </w:pict>
      </w:r>
      <w:r w:rsidR="00902D0D">
        <w:tab/>
      </w:r>
      <w:r w:rsidR="00902D0D">
        <w:tab/>
      </w:r>
      <w:r w:rsidR="00902D0D" w:rsidRPr="003703F8">
        <w:rPr>
          <w:noProof/>
          <w:lang w:eastAsia="de-DE"/>
        </w:rPr>
        <w:drawing>
          <wp:inline distT="0" distB="0" distL="0" distR="0">
            <wp:extent cx="4409365" cy="948906"/>
            <wp:effectExtent l="19050" t="0" r="0" b="0"/>
            <wp:docPr id="158" name="Grafik 2" descr="C:\Dropbox\Uni Dirk\SVP\11-12 Alkanone\Hydrazin-Hydra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Uni Dirk\SVP\11-12 Alkanone\Hydrazin-Hydraz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36" cy="9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0D" w:rsidRPr="00CD03BD" w:rsidRDefault="00902D0D" w:rsidP="00902D0D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</w:r>
      <w:r>
        <w:tab/>
        <w:t>2,4-Dinitrophenylhydrazin ist getrennt von anderen Chemikalien in einem eigenen Behälter zu entsorgen. Salzsäure kann in den Säure-Base-Behälter gegeben werden.</w:t>
      </w:r>
    </w:p>
    <w:p w:rsidR="00902D0D" w:rsidRDefault="00902D0D" w:rsidP="00902D0D">
      <w:pPr>
        <w:ind w:left="1980" w:hanging="1974"/>
      </w:pPr>
      <w:r>
        <w:t>Literatur:</w:t>
      </w:r>
      <w:r>
        <w:tab/>
        <w:t xml:space="preserve">H. </w:t>
      </w:r>
      <w:proofErr w:type="spellStart"/>
      <w:r>
        <w:t>Keune</w:t>
      </w:r>
      <w:proofErr w:type="spellEnd"/>
      <w:r>
        <w:t>, M. Just, Chemische Schulexperimente, Band 2, Organische Ch</w:t>
      </w:r>
      <w:r>
        <w:t>e</w:t>
      </w:r>
      <w:r>
        <w:t xml:space="preserve">mie, </w:t>
      </w:r>
      <w:proofErr w:type="spellStart"/>
      <w:r>
        <w:t>Cornelsen</w:t>
      </w:r>
      <w:proofErr w:type="spellEnd"/>
      <w:r>
        <w:t xml:space="preserve"> Volk und Wissen (2009), S. 132</w:t>
      </w:r>
    </w:p>
    <w:p w:rsidR="00902D0D" w:rsidRDefault="00724FCF" w:rsidP="00902D0D">
      <w:pPr>
        <w:tabs>
          <w:tab w:val="left" w:pos="1701"/>
          <w:tab w:val="left" w:pos="1985"/>
        </w:tabs>
        <w:ind w:left="1980" w:hanging="1980"/>
      </w:pPr>
      <w:r>
        <w:pict>
          <v:shape id="_x0000_s1039" type="#_x0000_t202" style="width:462.45pt;height:81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>
              <w:txbxContent>
                <w:p w:rsidR="00902D0D" w:rsidRPr="00A32D4D" w:rsidRDefault="00902D0D" w:rsidP="00902D0D">
                  <w:pPr>
                    <w:rPr>
                      <w:color w:val="auto"/>
                    </w:rPr>
                  </w:pPr>
                  <w:r w:rsidRPr="00A32D4D">
                    <w:rPr>
                      <w:b/>
                      <w:color w:val="auto"/>
                    </w:rPr>
                    <w:t xml:space="preserve">Unterrichtsanschlüsse </w:t>
                  </w:r>
                  <w:r w:rsidRPr="00A32D4D">
                    <w:rPr>
                      <w:color w:val="auto"/>
                    </w:rPr>
                    <w:t>Der Versuch kann im Unterricht als Nachweis für Ketone eingesetzt werden. Da</w:t>
                  </w:r>
                  <w:r w:rsidRPr="00A32D4D">
                    <w:rPr>
                      <w:b/>
                      <w:color w:val="auto"/>
                    </w:rPr>
                    <w:t xml:space="preserve"> </w:t>
                  </w:r>
                  <w:r w:rsidRPr="00A32D4D">
                    <w:rPr>
                      <w:color w:val="auto"/>
                    </w:rPr>
                    <w:t>2,4-Dinitrophenylhydrazin jedoch einem generellen Tätigkeitsverbot für SuS unte</w:t>
                  </w:r>
                  <w:r w:rsidRPr="00A32D4D">
                    <w:rPr>
                      <w:color w:val="auto"/>
                    </w:rPr>
                    <w:t>r</w:t>
                  </w:r>
                  <w:r w:rsidRPr="00A32D4D">
                    <w:rPr>
                      <w:color w:val="auto"/>
                    </w:rPr>
                    <w:t>liegt, darf der Versuch nur von Lehrkräften demonstriert werden. Alternativ kann auf Nac</w:t>
                  </w:r>
                  <w:r w:rsidRPr="00A32D4D">
                    <w:rPr>
                      <w:color w:val="auto"/>
                    </w:rPr>
                    <w:t>h</w:t>
                  </w:r>
                  <w:r w:rsidRPr="00A32D4D">
                    <w:rPr>
                      <w:color w:val="auto"/>
                    </w:rPr>
                    <w:t xml:space="preserve">weise von Aldehyden (V 6) verwiesen werden, die </w:t>
                  </w:r>
                  <w:r>
                    <w:rPr>
                      <w:color w:val="auto"/>
                    </w:rPr>
                    <w:t xml:space="preserve">bei </w:t>
                  </w:r>
                  <w:r w:rsidRPr="00A32D4D">
                    <w:rPr>
                      <w:color w:val="auto"/>
                    </w:rPr>
                    <w:t>Ketone</w:t>
                  </w:r>
                  <w:r>
                    <w:rPr>
                      <w:color w:val="auto"/>
                    </w:rPr>
                    <w:t>n negativ sind.</w:t>
                  </w:r>
                </w:p>
              </w:txbxContent>
            </v:textbox>
            <w10:wrap type="none"/>
            <w10:anchorlock/>
          </v:shape>
        </w:pict>
      </w:r>
    </w:p>
    <w:p w:rsidR="00902D0D" w:rsidRPr="00CD03BD" w:rsidRDefault="00902D0D" w:rsidP="00902D0D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</w:p>
    <w:p w:rsidR="00BE6DD9" w:rsidRPr="001B1A06" w:rsidRDefault="00BE6DD9" w:rsidP="00902D0D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91D" w:rsidRDefault="0011291D" w:rsidP="009524CC">
      <w:pPr>
        <w:spacing w:after="0"/>
      </w:pPr>
      <w:r>
        <w:separator/>
      </w:r>
    </w:p>
  </w:endnote>
  <w:endnote w:type="continuationSeparator" w:id="0">
    <w:p w:rsidR="0011291D" w:rsidRDefault="0011291D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91D" w:rsidRDefault="0011291D" w:rsidP="009524CC">
      <w:pPr>
        <w:spacing w:after="0"/>
      </w:pPr>
      <w:r>
        <w:separator/>
      </w:r>
    </w:p>
  </w:footnote>
  <w:footnote w:type="continuationSeparator" w:id="0">
    <w:p w:rsidR="0011291D" w:rsidRDefault="0011291D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724FC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EA694F" w:rsidRPr="00EA694F">
              <w:rPr>
                <w:b/>
                <w:bCs/>
                <w:noProof/>
                <w:sz w:val="20"/>
                <w:szCs w:val="20"/>
              </w:rPr>
              <w:t>V</w:t>
            </w:r>
            <w:r w:rsidR="00EA694F" w:rsidRPr="00EA694F">
              <w:rPr>
                <w:noProof/>
                <w:sz w:val="20"/>
                <w:szCs w:val="20"/>
              </w:rPr>
              <w:t xml:space="preserve"> 3 – Nachweis von Ketonen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724FC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EA694F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291D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1427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A43"/>
    <w:rsid w:val="00714FC8"/>
    <w:rsid w:val="00715DDE"/>
    <w:rsid w:val="00716FFB"/>
    <w:rsid w:val="007202FB"/>
    <w:rsid w:val="00722F04"/>
    <w:rsid w:val="007247E0"/>
    <w:rsid w:val="007249CD"/>
    <w:rsid w:val="00724FCF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2D0D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6D7F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898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6F7D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694F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1">
    <w:name w:val="Helle Liste - Akzent 1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4C13A-725B-49D6-8EA1-1D7458BC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3</cp:revision>
  <cp:lastPrinted>2012-06-21T19:47:00Z</cp:lastPrinted>
  <dcterms:created xsi:type="dcterms:W3CDTF">2013-08-13T19:04:00Z</dcterms:created>
  <dcterms:modified xsi:type="dcterms:W3CDTF">2013-08-14T13:18:00Z</dcterms:modified>
</cp:coreProperties>
</file>