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1C7" w:rsidRDefault="009F51C7" w:rsidP="009F51C7">
      <w:pPr>
        <w:pStyle w:val="berschrift1"/>
        <w:keepNext/>
        <w:keepLines/>
        <w:numPr>
          <w:ilvl w:val="0"/>
          <w:numId w:val="0"/>
        </w:numPr>
        <w:spacing w:before="360" w:after="240"/>
        <w:contextualSpacing w:val="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left:0;text-align:left;margin-left:-.05pt;margin-top:57.85pt;width:462.45pt;height:80.8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" strokecolor="#4bacc6" strokeweight="1pt">
            <v:stroke dashstyle="dash"/>
            <v:shadow color="#868686"/>
            <v:textbox style="mso-next-textbox:#_x0000_s1047">
              <w:txbxContent>
                <w:p w:rsidR="009F51C7" w:rsidRPr="00563B6E" w:rsidRDefault="009F51C7" w:rsidP="009F51C7">
                  <w:pPr>
                    <w:rPr>
                      <w:color w:val="auto"/>
                    </w:rPr>
                  </w:pPr>
                  <w:r w:rsidRPr="00563B6E">
                    <w:rPr>
                      <w:color w:val="auto"/>
                    </w:rPr>
                    <w:t xml:space="preserve">Ketone und Aldehyde verfügen beide über eine </w:t>
                  </w:r>
                  <w:proofErr w:type="spellStart"/>
                  <w:r w:rsidRPr="00563B6E">
                    <w:rPr>
                      <w:color w:val="auto"/>
                    </w:rPr>
                    <w:t>Carbonygruppe</w:t>
                  </w:r>
                  <w:proofErr w:type="spellEnd"/>
                  <w:r w:rsidRPr="00563B6E">
                    <w:rPr>
                      <w:color w:val="auto"/>
                    </w:rPr>
                    <w:t xml:space="preserve">, wobei diese bei den Aldehyden endständig ist und bei Ketonen nicht. </w:t>
                  </w:r>
                  <w:r>
                    <w:rPr>
                      <w:color w:val="auto"/>
                    </w:rPr>
                    <w:t>Z</w:t>
                  </w:r>
                  <w:r w:rsidRPr="00563B6E">
                    <w:rPr>
                      <w:color w:val="auto"/>
                    </w:rPr>
                    <w:t xml:space="preserve">ur Unterscheidung der Stoffklassen </w:t>
                  </w:r>
                  <w:r>
                    <w:rPr>
                      <w:color w:val="auto"/>
                    </w:rPr>
                    <w:t xml:space="preserve">können </w:t>
                  </w:r>
                  <w:r w:rsidRPr="00563B6E">
                    <w:rPr>
                      <w:color w:val="auto"/>
                    </w:rPr>
                    <w:t xml:space="preserve">Aldehyde durch </w:t>
                  </w:r>
                  <w:r>
                    <w:rPr>
                      <w:color w:val="auto"/>
                    </w:rPr>
                    <w:t xml:space="preserve">spezifische </w:t>
                  </w:r>
                  <w:r w:rsidRPr="00563B6E">
                    <w:rPr>
                      <w:color w:val="auto"/>
                    </w:rPr>
                    <w:t xml:space="preserve">Nachweisreaktionen wie die </w:t>
                  </w:r>
                  <w:proofErr w:type="spellStart"/>
                  <w:r w:rsidRPr="00563B6E">
                    <w:rPr>
                      <w:color w:val="auto"/>
                    </w:rPr>
                    <w:t>Fehlingprobe</w:t>
                  </w:r>
                  <w:proofErr w:type="spellEnd"/>
                  <w:r w:rsidRPr="00563B6E">
                    <w:rPr>
                      <w:color w:val="auto"/>
                    </w:rPr>
                    <w:t xml:space="preserve"> und die Tollens-Probe nachgewi</w:t>
                  </w:r>
                  <w:r w:rsidRPr="00563B6E">
                    <w:rPr>
                      <w:color w:val="auto"/>
                    </w:rPr>
                    <w:t>e</w:t>
                  </w:r>
                  <w:r w:rsidRPr="00563B6E">
                    <w:rPr>
                      <w:color w:val="auto"/>
                    </w:rPr>
                    <w:t xml:space="preserve">sen werden. </w:t>
                  </w:r>
                </w:p>
              </w:txbxContent>
            </v:textbox>
            <w10:wrap type="square"/>
          </v:shape>
        </w:pict>
      </w:r>
      <w:bookmarkStart w:id="0" w:name="_Toc363670270"/>
      <w:r>
        <w:t>V 6 – Unterscheidung von Ketonen und Aldeh</w:t>
      </w:r>
      <w:r>
        <w:t>y</w:t>
      </w:r>
      <w:r>
        <w:t>den</w:t>
      </w:r>
      <w:bookmarkEnd w:id="0"/>
    </w:p>
    <w:p w:rsidR="009F51C7" w:rsidRDefault="009F51C7" w:rsidP="009F51C7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9F51C7" w:rsidRPr="00CD03BD" w:rsidTr="000200FE">
        <w:tc>
          <w:tcPr>
            <w:tcW w:w="9322" w:type="dxa"/>
            <w:gridSpan w:val="9"/>
            <w:shd w:val="clear" w:color="auto" w:fill="4F81BD"/>
            <w:vAlign w:val="center"/>
          </w:tcPr>
          <w:p w:rsidR="009F51C7" w:rsidRPr="00CD03BD" w:rsidRDefault="009F51C7" w:rsidP="000200FE">
            <w:pPr>
              <w:spacing w:after="0"/>
              <w:jc w:val="center"/>
              <w:rPr>
                <w:b/>
                <w:bCs/>
              </w:rPr>
            </w:pPr>
            <w:r w:rsidRPr="00CD03BD">
              <w:rPr>
                <w:b/>
                <w:bCs/>
              </w:rPr>
              <w:t>Gefahrenstoffe</w:t>
            </w:r>
          </w:p>
        </w:tc>
      </w:tr>
      <w:tr w:rsidR="009F51C7" w:rsidRPr="00CD03BD" w:rsidTr="000200FE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51C7" w:rsidRPr="009D1997" w:rsidRDefault="009F51C7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 w:rsidRPr="009D1997">
              <w:rPr>
                <w:bCs/>
                <w:sz w:val="20"/>
              </w:rPr>
              <w:t>Kupfersulfat-</w:t>
            </w:r>
            <w:proofErr w:type="spellStart"/>
            <w:r w:rsidRPr="009D1997">
              <w:rPr>
                <w:bCs/>
                <w:sz w:val="20"/>
              </w:rPr>
              <w:t>Pentahydrat</w:t>
            </w:r>
            <w:proofErr w:type="spellEnd"/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/>
              <w:jc w:val="center"/>
            </w:pPr>
            <w:r w:rsidRPr="00CD03BD">
              <w:rPr>
                <w:sz w:val="20"/>
              </w:rPr>
              <w:t xml:space="preserve">H: </w:t>
            </w:r>
            <w:r>
              <w:rPr>
                <w:sz w:val="20"/>
              </w:rPr>
              <w:t>302-319-315-410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/>
              <w:jc w:val="center"/>
            </w:pPr>
            <w:r w:rsidRPr="00CD03BD">
              <w:rPr>
                <w:sz w:val="20"/>
              </w:rPr>
              <w:t xml:space="preserve">P: </w:t>
            </w:r>
            <w:r>
              <w:rPr>
                <w:sz w:val="20"/>
              </w:rPr>
              <w:t>273-302+352-305+351+338</w:t>
            </w:r>
          </w:p>
        </w:tc>
      </w:tr>
      <w:tr w:rsidR="009F51C7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Kaliumnatriumtartrat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H: 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P: -</w:t>
            </w:r>
          </w:p>
        </w:tc>
      </w:tr>
      <w:tr w:rsidR="009F51C7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F51C7" w:rsidRDefault="009F51C7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Natriumhydroxid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H: 260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P: 280-301+330+331-305+351+338-402+404</w:t>
            </w:r>
          </w:p>
        </w:tc>
      </w:tr>
      <w:tr w:rsidR="009F51C7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F51C7" w:rsidRDefault="009F51C7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Ammoniak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H: 221-331-314-400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P: 210-260-280-304+340-303+361+353-305+351+338-315-405-403</w:t>
            </w:r>
          </w:p>
        </w:tc>
      </w:tr>
      <w:tr w:rsidR="009F51C7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F51C7" w:rsidRDefault="009F51C7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Silbernitrat (0,1 M)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H: 272-314-410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P: 273-280-301+330+331-305+351+338</w:t>
            </w:r>
          </w:p>
        </w:tc>
      </w:tr>
      <w:tr w:rsidR="009F51C7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F51C7" w:rsidRDefault="009F51C7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Natronlauge (0,1 M)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H: 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P: -</w:t>
            </w:r>
          </w:p>
        </w:tc>
      </w:tr>
      <w:tr w:rsidR="009F51C7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F51C7" w:rsidRDefault="009F51C7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Aceton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H: 225-319-336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P: 210-233-305+351-338</w:t>
            </w:r>
          </w:p>
        </w:tc>
      </w:tr>
      <w:tr w:rsidR="009F51C7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F51C7" w:rsidRDefault="009F51C7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Acetaldehyd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H: 224-351-319-335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P: 210-223-281-305+351+338-308+313</w:t>
            </w:r>
          </w:p>
        </w:tc>
      </w:tr>
      <w:tr w:rsidR="009F51C7" w:rsidRPr="00CD03BD" w:rsidTr="000200FE">
        <w:trPr>
          <w:trHeight w:val="434"/>
        </w:trPr>
        <w:tc>
          <w:tcPr>
            <w:tcW w:w="3027" w:type="dxa"/>
            <w:gridSpan w:val="3"/>
            <w:shd w:val="clear" w:color="auto" w:fill="auto"/>
            <w:vAlign w:val="center"/>
          </w:tcPr>
          <w:p w:rsidR="009F51C7" w:rsidRDefault="009F51C7" w:rsidP="000200FE">
            <w:pPr>
              <w:spacing w:after="0" w:line="276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Destilliertes Wasser</w:t>
            </w:r>
          </w:p>
        </w:tc>
        <w:tc>
          <w:tcPr>
            <w:tcW w:w="3177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H: -</w:t>
            </w:r>
          </w:p>
        </w:tc>
        <w:tc>
          <w:tcPr>
            <w:tcW w:w="3118" w:type="dxa"/>
            <w:gridSpan w:val="3"/>
            <w:shd w:val="clear" w:color="auto" w:fill="auto"/>
            <w:vAlign w:val="center"/>
          </w:tcPr>
          <w:p w:rsidR="009F51C7" w:rsidRPr="009F51C7" w:rsidRDefault="009F51C7" w:rsidP="000200FE">
            <w:pPr>
              <w:pStyle w:val="Beschriftung"/>
              <w:spacing w:after="0"/>
              <w:jc w:val="center"/>
              <w:rPr>
                <w:b w:val="0"/>
                <w:sz w:val="20"/>
              </w:rPr>
            </w:pPr>
            <w:r w:rsidRPr="009F51C7">
              <w:rPr>
                <w:b w:val="0"/>
                <w:sz w:val="20"/>
              </w:rPr>
              <w:t>P: -</w:t>
            </w:r>
          </w:p>
        </w:tc>
      </w:tr>
      <w:tr w:rsidR="009F51C7" w:rsidRPr="00CD03BD" w:rsidTr="000200FE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57" name="Grafik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7585" cy="517585"/>
                  <wp:effectExtent l="19050" t="0" r="0" b="0"/>
                  <wp:docPr id="159" name="Bild 14" descr="C:\Users\Anne\AppData\Local\Temp\Rar$DI02.888\Brandfördern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nne\AppData\Local\Temp\Rar$DI02.888\Brandfördern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28" cy="518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83079" cy="483079"/>
                  <wp:effectExtent l="19050" t="0" r="0" b="0"/>
                  <wp:docPr id="160" name="Bild 15" descr="C:\Users\Anne\AppData\Local\Temp\Rar$DI04.761\Brennb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Anne\AppData\Local\Temp\Rar$DI04.761\Brennb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492" cy="483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61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0380" cy="500380"/>
                  <wp:effectExtent l="19050" t="0" r="0" b="0"/>
                  <wp:docPr id="162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380" cy="500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7585" cy="517585"/>
                  <wp:effectExtent l="19050" t="0" r="0" b="0"/>
                  <wp:docPr id="163" name="Bild 16" descr="C:\Users\Anne\AppData\Local\Temp\Rar$DI21.412\Gesundheits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nne\AppData\Local\Temp\Rar$DI21.412\Gesundheits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719" cy="519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8958" cy="508958"/>
                  <wp:effectExtent l="19050" t="0" r="5392" b="0"/>
                  <wp:docPr id="164" name="Bild 17" descr="C:\Users\Anne\AppData\Local\Temp\Rar$DI22.056\Gift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nne\AppData\Local\Temp\Rar$DI22.056\Gift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394" cy="5093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9270" cy="509270"/>
                  <wp:effectExtent l="19050" t="0" r="5080" b="0"/>
                  <wp:docPr id="165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9F51C7" w:rsidRPr="00CD03BD" w:rsidRDefault="009F51C7" w:rsidP="000200FE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52090" cy="552090"/>
                  <wp:effectExtent l="19050" t="0" r="360" b="0"/>
                  <wp:docPr id="166" name="Bild 18" descr="C:\Users\Anne\AppData\Local\Temp\Rar$DI05.935\Umweltgefah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Anne\AppData\Local\Temp\Rar$DI05.935\Umweltgefah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700" cy="55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F51C7" w:rsidRDefault="009F51C7" w:rsidP="009F51C7">
      <w:pPr>
        <w:tabs>
          <w:tab w:val="left" w:pos="1701"/>
          <w:tab w:val="left" w:pos="1985"/>
        </w:tabs>
        <w:ind w:left="1980" w:hanging="1980"/>
      </w:pPr>
    </w:p>
    <w:p w:rsidR="009F51C7" w:rsidRDefault="009F51C7" w:rsidP="009F51C7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>
        <w:tab/>
      </w:r>
      <w:r>
        <w:tab/>
        <w:t>4 Reagenzgläser, Bunsenbrenner</w:t>
      </w:r>
    </w:p>
    <w:p w:rsidR="009F51C7" w:rsidRPr="00ED07C2" w:rsidRDefault="009F51C7" w:rsidP="009F51C7">
      <w:pPr>
        <w:tabs>
          <w:tab w:val="left" w:pos="1701"/>
          <w:tab w:val="left" w:pos="1985"/>
        </w:tabs>
        <w:ind w:left="2124" w:hanging="2124"/>
      </w:pPr>
      <w:r>
        <w:t>Chemikalien:</w:t>
      </w:r>
      <w:r>
        <w:tab/>
      </w:r>
      <w:r>
        <w:tab/>
      </w:r>
      <w:r>
        <w:tab/>
        <w:t>Kupfersulfat-</w:t>
      </w:r>
      <w:proofErr w:type="spellStart"/>
      <w:r>
        <w:t>Pentahydrat</w:t>
      </w:r>
      <w:proofErr w:type="spellEnd"/>
      <w:r>
        <w:t>, Kaliumnatriumtartrat, Natriumhydroxid, de</w:t>
      </w:r>
      <w:r>
        <w:t>s</w:t>
      </w:r>
      <w:r>
        <w:t>tilliertes Wasser, Silbernitrat (0,1 M), Natronlauge (0,1 M), Ammoniak, Aceton, Acetaldehyd</w:t>
      </w:r>
    </w:p>
    <w:p w:rsidR="009F51C7" w:rsidRDefault="009F51C7" w:rsidP="009F51C7">
      <w:pPr>
        <w:ind w:left="2124" w:hanging="2124"/>
      </w:pPr>
      <w:r>
        <w:t xml:space="preserve">Durchführung 1: </w:t>
      </w:r>
      <w:r>
        <w:tab/>
        <w:t>Zunächst werden beide Fehling-Lösungen hergestellt. Hierzu werden 7 g Kupfersulfat-</w:t>
      </w:r>
      <w:proofErr w:type="spellStart"/>
      <w:r>
        <w:t>Pentahydrat</w:t>
      </w:r>
      <w:proofErr w:type="spellEnd"/>
      <w:r>
        <w:t xml:space="preserve"> und 100 </w:t>
      </w:r>
      <w:proofErr w:type="spellStart"/>
      <w:r>
        <w:t>mL</w:t>
      </w:r>
      <w:proofErr w:type="spellEnd"/>
      <w:r>
        <w:t xml:space="preserve"> Wasser vermengt (Fehling-Lösung </w:t>
      </w:r>
      <w:r>
        <w:lastRenderedPageBreak/>
        <w:t xml:space="preserve">I) und 35 g Kaliumnatriumtartrat, 10 g Natriumhydroxid in 100 </w:t>
      </w:r>
      <w:proofErr w:type="spellStart"/>
      <w:r>
        <w:t>mL</w:t>
      </w:r>
      <w:proofErr w:type="spellEnd"/>
      <w:r>
        <w:t xml:space="preserve"> Wa</w:t>
      </w:r>
      <w:r>
        <w:t>s</w:t>
      </w:r>
      <w:r>
        <w:t>ser gelöst (Fehling-Lösung II). Danach werden beide Lösungen im Ve</w:t>
      </w:r>
      <w:r>
        <w:t>r</w:t>
      </w:r>
      <w:r>
        <w:t xml:space="preserve">hältnis 1:1 zusammen gegeben, mit 3 </w:t>
      </w:r>
      <w:proofErr w:type="spellStart"/>
      <w:r>
        <w:t>mL</w:t>
      </w:r>
      <w:proofErr w:type="spellEnd"/>
      <w:r>
        <w:t xml:space="preserve"> Aceton bzw. Acetaldehyd ve</w:t>
      </w:r>
      <w:r>
        <w:t>r</w:t>
      </w:r>
      <w:r>
        <w:t>setzt und vorsichtig erhitzt.</w:t>
      </w:r>
    </w:p>
    <w:p w:rsidR="009F51C7" w:rsidRDefault="009F51C7" w:rsidP="009F51C7">
      <w:pPr>
        <w:ind w:left="2124" w:hanging="2124"/>
      </w:pPr>
      <w:r>
        <w:t>Beobachtung 1:</w:t>
      </w:r>
      <w:r>
        <w:tab/>
        <w:t>Die Fehling-Lösung, der Acetaldehyd zugesetzt wurde, färbt sich orange-rot, während sich die Farbe bei Zugabe von Aceton nicht ändert.</w:t>
      </w:r>
    </w:p>
    <w:p w:rsidR="009F51C7" w:rsidRDefault="009F51C7" w:rsidP="009F51C7">
      <w:pPr>
        <w:ind w:left="2124" w:hanging="2124"/>
        <w:jc w:val="center"/>
      </w:pPr>
      <w:r>
        <w:rPr>
          <w:noProof/>
          <w:lang w:eastAsia="de-DE"/>
        </w:rPr>
        <w:drawing>
          <wp:inline distT="0" distB="0" distL="0" distR="0">
            <wp:extent cx="1786147" cy="2286000"/>
            <wp:effectExtent l="19050" t="0" r="4553" b="0"/>
            <wp:docPr id="198" name="Bild 24" descr="F:\DCIM\100CANON\IMG_1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DCIM\100CANON\IMG_144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20000" contrast="20000"/>
                    </a:blip>
                    <a:srcRect l="32615" t="9028" r="22909" b="151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47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C7" w:rsidRDefault="009F51C7" w:rsidP="009F51C7">
      <w:pPr>
        <w:pStyle w:val="Beschriftung"/>
        <w:jc w:val="left"/>
      </w:pPr>
      <w:r>
        <w:t xml:space="preserve">Abb. 7 - </w:t>
      </w:r>
      <w:r>
        <w:rPr>
          <w:noProof/>
        </w:rPr>
        <w:t xml:space="preserve"> Fehling-Probe bei Zugabe von Acetaldehyd (links) und Aceton (rechts).</w:t>
      </w:r>
    </w:p>
    <w:p w:rsidR="009F51C7" w:rsidRDefault="009F51C7" w:rsidP="009F51C7">
      <w:pPr>
        <w:tabs>
          <w:tab w:val="left" w:pos="1701"/>
          <w:tab w:val="left" w:pos="1985"/>
        </w:tabs>
        <w:ind w:left="2124" w:hanging="2124"/>
      </w:pPr>
      <w:r>
        <w:t xml:space="preserve">Durchführung 2: </w:t>
      </w:r>
      <w:r>
        <w:tab/>
      </w:r>
      <w:r>
        <w:tab/>
      </w:r>
      <w:r>
        <w:tab/>
        <w:t xml:space="preserve">5 </w:t>
      </w:r>
      <w:proofErr w:type="spellStart"/>
      <w:r>
        <w:t>mL</w:t>
      </w:r>
      <w:proofErr w:type="spellEnd"/>
      <w:r>
        <w:t xml:space="preserve"> Silbernitrat und 0,5 </w:t>
      </w:r>
      <w:proofErr w:type="spellStart"/>
      <w:r>
        <w:t>mL</w:t>
      </w:r>
      <w:proofErr w:type="spellEnd"/>
      <w:r>
        <w:t xml:space="preserve"> Natronlauge werden in einem Reagenzglas gemischt und solange mit Ammoniak versetzt, bis sich der Niederschlag gerade wieder löst. Dann wird die Lösung auf zwei Reagenzgläser aufg</w:t>
      </w:r>
      <w:r>
        <w:t>e</w:t>
      </w:r>
      <w:r>
        <w:t xml:space="preserve">teilt und mit 1 </w:t>
      </w:r>
      <w:proofErr w:type="spellStart"/>
      <w:r>
        <w:t>mL</w:t>
      </w:r>
      <w:proofErr w:type="spellEnd"/>
      <w:r>
        <w:t xml:space="preserve"> Acetaldehyd (alternativ: Glucose) und Aceton ve</w:t>
      </w:r>
      <w:r>
        <w:t>r</w:t>
      </w:r>
      <w:r>
        <w:t>setzt.</w:t>
      </w:r>
    </w:p>
    <w:p w:rsidR="009F51C7" w:rsidRDefault="009F51C7" w:rsidP="009F51C7">
      <w:pPr>
        <w:tabs>
          <w:tab w:val="left" w:pos="1926"/>
        </w:tabs>
        <w:ind w:left="2124" w:hanging="2124"/>
      </w:pPr>
      <w:r>
        <w:t xml:space="preserve">Beobachtung 2: </w:t>
      </w:r>
      <w:r>
        <w:tab/>
      </w:r>
      <w:r>
        <w:tab/>
        <w:t>Bei Zugabe von Acetaldehyd bildet sich ein deutlicher Silberspiegel aus, während bei Zugabe von Aceton keine Veränderung zu erkennen ist.</w:t>
      </w:r>
    </w:p>
    <w:p w:rsidR="009F51C7" w:rsidRDefault="009F51C7" w:rsidP="009F51C7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1965026" cy="2329132"/>
            <wp:effectExtent l="19050" t="0" r="0" b="0"/>
            <wp:docPr id="199" name="Bild 25" descr="F:\DCIM\100CANON\IMG_1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DCIM\100CANON\IMG_145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20000" contrast="20000"/>
                    </a:blip>
                    <a:srcRect l="32464" t="11193" r="19626" b="13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026" cy="2329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1C7" w:rsidRDefault="009F51C7" w:rsidP="009F51C7">
      <w:pPr>
        <w:pStyle w:val="Beschriftung"/>
        <w:jc w:val="left"/>
      </w:pPr>
      <w:r>
        <w:t xml:space="preserve">Abb. 8 - </w:t>
      </w:r>
      <w:r>
        <w:rPr>
          <w:noProof/>
        </w:rPr>
        <w:t xml:space="preserve"> Tollensprobe bei Zugabe von Acetaldehyd (links) und Aceton (rechts).</w:t>
      </w:r>
    </w:p>
    <w:p w:rsidR="009F51C7" w:rsidRDefault="009F51C7" w:rsidP="009F51C7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  <w:t xml:space="preserve">Ketone können weder durch die Fehling-Probe noch durch die </w:t>
      </w:r>
      <w:proofErr w:type="spellStart"/>
      <w:r>
        <w:t>Tollenz</w:t>
      </w:r>
      <w:proofErr w:type="spellEnd"/>
      <w:r>
        <w:t xml:space="preserve">-Probe nachgewiesen werden, da sie im Gegensatz zu Aldehyden keine endständige </w:t>
      </w:r>
      <w:proofErr w:type="spellStart"/>
      <w:r>
        <w:t>Carbonylgruppe</w:t>
      </w:r>
      <w:proofErr w:type="spellEnd"/>
      <w:r>
        <w:t xml:space="preserve"> haben und somit aufgrund des fehlenden H-Atoms nicht partiell zur Carbonsäure oxidiert werden können. Daher kö</w:t>
      </w:r>
      <w:r>
        <w:t>n</w:t>
      </w:r>
      <w:r>
        <w:t>nen diese Nachweisreaktionen zu Unterscheidung von Aldehyden und K</w:t>
      </w:r>
      <w:r>
        <w:t>e</w:t>
      </w:r>
      <w:r>
        <w:t>tonen eingesetzt werden.</w:t>
      </w:r>
    </w:p>
    <w:p w:rsidR="009F51C7" w:rsidRPr="00CD03BD" w:rsidRDefault="009F51C7" w:rsidP="009F51C7">
      <w:pPr>
        <w:tabs>
          <w:tab w:val="left" w:pos="1701"/>
          <w:tab w:val="left" w:pos="1985"/>
        </w:tabs>
        <w:ind w:left="1980" w:hanging="1980"/>
        <w:rPr>
          <w:rFonts w:eastAsia="MS Mincho"/>
        </w:rPr>
      </w:pPr>
      <w:r>
        <w:t xml:space="preserve">Entsorgung: </w:t>
      </w:r>
      <w:r>
        <w:tab/>
      </w:r>
      <w:r>
        <w:tab/>
      </w:r>
      <w:r>
        <w:tab/>
        <w:t>Die Lösungen werden im Schwermetallbehälter entsorgt.</w:t>
      </w:r>
      <w:r>
        <w:tab/>
      </w:r>
    </w:p>
    <w:p w:rsidR="009F51C7" w:rsidRDefault="009F51C7" w:rsidP="009F51C7">
      <w:pPr>
        <w:spacing w:line="276" w:lineRule="auto"/>
        <w:ind w:left="1980" w:hanging="1980"/>
        <w:jc w:val="left"/>
      </w:pPr>
      <w:r>
        <w:t>Literatur:</w:t>
      </w:r>
      <w:r>
        <w:tab/>
        <w:t xml:space="preserve">Seilnacht, </w:t>
      </w:r>
      <w:r w:rsidRPr="0018658B">
        <w:t>http://www.seilnacht.com/Chemie/reagenz.htm#Fehling</w:t>
      </w:r>
      <w:r>
        <w:t>, Z</w:t>
      </w:r>
      <w:r>
        <w:t>u</w:t>
      </w:r>
      <w:r>
        <w:t xml:space="preserve">griff zuletzt am 07.08.2013 um 14:44 Uhr. </w:t>
      </w:r>
    </w:p>
    <w:p w:rsidR="009F51C7" w:rsidRDefault="009F51C7" w:rsidP="009F51C7">
      <w:pPr>
        <w:tabs>
          <w:tab w:val="left" w:pos="1701"/>
          <w:tab w:val="left" w:pos="1985"/>
        </w:tabs>
        <w:ind w:left="1980" w:hanging="1980"/>
      </w:pPr>
      <w:r>
        <w:pict>
          <v:shape id="_x0000_s1046" type="#_x0000_t202" style="width:462.45pt;height:82.85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" strokecolor="#c0504d" strokeweight="1pt">
            <v:stroke dashstyle="dash"/>
            <v:shadow color="#868686"/>
            <v:textbox>
              <w:txbxContent>
                <w:p w:rsidR="009F51C7" w:rsidRPr="0018658B" w:rsidRDefault="009F51C7" w:rsidP="009F51C7">
                  <w:pPr>
                    <w:rPr>
                      <w:color w:val="auto"/>
                    </w:rPr>
                  </w:pPr>
                  <w:r w:rsidRPr="0018658B">
                    <w:rPr>
                      <w:b/>
                      <w:color w:val="auto"/>
                    </w:rPr>
                    <w:t xml:space="preserve">Unterrichtsanschlüsse </w:t>
                  </w:r>
                  <w:r w:rsidRPr="0018658B">
                    <w:rPr>
                      <w:color w:val="auto"/>
                    </w:rPr>
                    <w:t xml:space="preserve">Die Versuche können im Unterricht dazu genutzt werden, den SuS Nachweisreaktionen zur Unterscheidung zweier strukturell sehr ähnlicher Stoffe näher zu bringen und damit Struktur-Eigenschafts-Beziehungen aufzuzeigen. Alternativ können auch die </w:t>
                  </w:r>
                  <w:proofErr w:type="spellStart"/>
                  <w:r w:rsidRPr="0018658B">
                    <w:rPr>
                      <w:color w:val="auto"/>
                    </w:rPr>
                    <w:t>Schiffsche</w:t>
                  </w:r>
                  <w:proofErr w:type="spellEnd"/>
                  <w:r w:rsidRPr="0018658B">
                    <w:rPr>
                      <w:color w:val="auto"/>
                    </w:rPr>
                    <w:t xml:space="preserve"> Probe, das Benedict-Reagenz oder das </w:t>
                  </w:r>
                  <w:proofErr w:type="spellStart"/>
                  <w:r w:rsidRPr="0018658B">
                    <w:rPr>
                      <w:color w:val="auto"/>
                    </w:rPr>
                    <w:t>Nylander</w:t>
                  </w:r>
                  <w:proofErr w:type="spellEnd"/>
                  <w:r w:rsidRPr="0018658B">
                    <w:rPr>
                      <w:color w:val="auto"/>
                    </w:rPr>
                    <w:t xml:space="preserve"> Reagenz verwendet werden.</w:t>
                  </w:r>
                </w:p>
              </w:txbxContent>
            </v:textbox>
            <w10:wrap type="none"/>
            <w10:anchorlock/>
          </v:shape>
        </w:pict>
      </w:r>
    </w:p>
    <w:p w:rsidR="009F51C7" w:rsidRPr="00CD03BD" w:rsidRDefault="009F51C7" w:rsidP="009F51C7">
      <w:pPr>
        <w:tabs>
          <w:tab w:val="left" w:pos="1701"/>
          <w:tab w:val="left" w:pos="1985"/>
        </w:tabs>
        <w:ind w:left="1980" w:hanging="1980"/>
        <w:rPr>
          <w:rFonts w:eastAsia="MS Mincho"/>
        </w:rPr>
      </w:pPr>
    </w:p>
    <w:p w:rsidR="00BE6DD9" w:rsidRPr="001B1A06" w:rsidRDefault="00BE6DD9" w:rsidP="009F51C7"/>
    <w:sectPr w:rsidR="00BE6DD9" w:rsidRPr="001B1A06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7D18" w:rsidRDefault="00B57D18" w:rsidP="009524CC">
      <w:pPr>
        <w:spacing w:after="0"/>
      </w:pPr>
      <w:r>
        <w:separator/>
      </w:r>
    </w:p>
  </w:endnote>
  <w:endnote w:type="continuationSeparator" w:id="0">
    <w:p w:rsidR="00B57D18" w:rsidRDefault="00B57D18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7D18" w:rsidRDefault="00B57D18" w:rsidP="009524CC">
      <w:pPr>
        <w:spacing w:after="0"/>
      </w:pPr>
      <w:r>
        <w:separator/>
      </w:r>
    </w:p>
  </w:footnote>
  <w:footnote w:type="continuationSeparator" w:id="0">
    <w:p w:rsidR="00B57D18" w:rsidRDefault="00B57D18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91427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9F51C7" w:rsidRPr="009F51C7">
              <w:rPr>
                <w:b/>
                <w:bCs/>
                <w:noProof/>
                <w:sz w:val="20"/>
                <w:szCs w:val="20"/>
              </w:rPr>
              <w:t>V</w:t>
            </w:r>
            <w:r w:rsidR="009F51C7" w:rsidRPr="009F51C7">
              <w:rPr>
                <w:noProof/>
                <w:sz w:val="20"/>
                <w:szCs w:val="20"/>
              </w:rPr>
              <w:t xml:space="preserve"> 6 – Unterscheidung von</w:t>
            </w:r>
            <w:r w:rsidR="009F51C7">
              <w:rPr>
                <w:noProof/>
              </w:rPr>
              <w:t xml:space="preserve"> Ketonen und Aldehyden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591427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9F51C7">
            <w:rPr>
              <w:noProof/>
              <w:sz w:val="20"/>
              <w:szCs w:val="20"/>
            </w:rPr>
            <w:t>1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12BB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1032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3A6B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1C55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1427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2D0D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52E2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51C7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57D18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6D7F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898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6F7D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628A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customStyle="1" w:styleId="HelleListe-Akzent11">
    <w:name w:val="Helle Liste - Akzent 1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F5C0F0-7704-4FEA-9796-98FA5AC0C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350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Anne</cp:lastModifiedBy>
  <cp:revision>2</cp:revision>
  <cp:lastPrinted>2012-06-21T19:47:00Z</cp:lastPrinted>
  <dcterms:created xsi:type="dcterms:W3CDTF">2013-08-13T19:07:00Z</dcterms:created>
  <dcterms:modified xsi:type="dcterms:W3CDTF">2013-08-13T19:07:00Z</dcterms:modified>
</cp:coreProperties>
</file>