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A2B" w:rsidRPr="00D51A2B" w:rsidRDefault="00D51A2B" w:rsidP="00D51A2B">
      <w:pPr>
        <w:rPr>
          <w:b/>
          <w:sz w:val="32"/>
          <w:szCs w:val="32"/>
        </w:rPr>
      </w:pPr>
      <w:r w:rsidRPr="00D51A2B">
        <w:rPr>
          <w:b/>
          <w:noProof/>
          <w:sz w:val="32"/>
          <w:szCs w:val="32"/>
          <w:lang w:eastAsia="de-DE"/>
        </w:rPr>
        <w:pict>
          <v:shapetype id="_x0000_t202" coordsize="21600,21600" o:spt="202" path="m,l,21600r21600,l21600,xe">
            <v:stroke joinstyle="miter"/>
            <v:path gradientshapeok="t" o:connecttype="rect"/>
          </v:shapetype>
          <v:shape id="_x0000_s1050" type="#_x0000_t202" style="position:absolute;left:0;text-align:left;margin-left:-.05pt;margin-top:42.4pt;width:462.45pt;height:62.75pt;z-index:251660288;mso-width-relative:margin;mso-height-relative:margin" fillcolor="white [3201]" strokecolor="#4bacc6 [3208]" strokeweight="1pt">
            <v:stroke dashstyle="dash"/>
            <v:shadow color="#868686"/>
            <v:textbox style="mso-next-textbox:#_x0000_s1050">
              <w:txbxContent>
                <w:p w:rsidR="00D51A2B" w:rsidRPr="009F040F" w:rsidRDefault="00D51A2B" w:rsidP="00D51A2B">
                  <w:pPr>
                    <w:rPr>
                      <w:color w:val="auto"/>
                    </w:rPr>
                  </w:pPr>
                  <w:r w:rsidRPr="009F040F">
                    <w:rPr>
                      <w:color w:val="auto"/>
                    </w:rPr>
                    <w:t>Mit diesem Experiment lernen die SuS ein einfaches Herstellungsverfahren für das einfachste Alkin, das Ethin. Die SuS sollten Gasentwicklungsapparaturen und das auffangen von Gasen mit pneumatischen Wannen bereits kennen.</w:t>
                  </w:r>
                </w:p>
              </w:txbxContent>
            </v:textbox>
            <w10:wrap type="square"/>
          </v:shape>
        </w:pict>
      </w:r>
      <w:bookmarkStart w:id="0" w:name="_Toc364077267"/>
      <w:r w:rsidRPr="00D51A2B">
        <w:rPr>
          <w:b/>
          <w:sz w:val="32"/>
          <w:szCs w:val="32"/>
        </w:rPr>
        <w:t>V 1 – Herstellung von Ethin</w:t>
      </w:r>
      <w:bookmarkEnd w:id="0"/>
    </w:p>
    <w:p w:rsidR="00D51A2B" w:rsidRDefault="00D51A2B" w:rsidP="00D51A2B"/>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D51A2B" w:rsidRPr="009C5E28" w:rsidTr="00E201E7">
        <w:tc>
          <w:tcPr>
            <w:tcW w:w="9322" w:type="dxa"/>
            <w:gridSpan w:val="9"/>
            <w:shd w:val="clear" w:color="auto" w:fill="4F81BD"/>
            <w:vAlign w:val="center"/>
          </w:tcPr>
          <w:p w:rsidR="00D51A2B" w:rsidRPr="009C5E28" w:rsidRDefault="00D51A2B" w:rsidP="00E201E7">
            <w:pPr>
              <w:spacing w:after="0"/>
              <w:jc w:val="center"/>
              <w:rPr>
                <w:b/>
                <w:bCs/>
              </w:rPr>
            </w:pPr>
            <w:r w:rsidRPr="009C5E28">
              <w:rPr>
                <w:b/>
                <w:bCs/>
              </w:rPr>
              <w:t>Gefahrenstoffe</w:t>
            </w:r>
          </w:p>
        </w:tc>
      </w:tr>
      <w:tr w:rsidR="00D51A2B" w:rsidRPr="009C5E28" w:rsidTr="00E201E7">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51A2B" w:rsidRPr="009C5E28" w:rsidRDefault="00D51A2B" w:rsidP="00E201E7">
            <w:pPr>
              <w:spacing w:after="0" w:line="276" w:lineRule="auto"/>
              <w:jc w:val="center"/>
              <w:rPr>
                <w:b/>
                <w:bCs/>
              </w:rPr>
            </w:pPr>
            <w:r>
              <w:rPr>
                <w:sz w:val="20"/>
              </w:rPr>
              <w:t>Calciumcarbid</w:t>
            </w:r>
          </w:p>
        </w:tc>
        <w:tc>
          <w:tcPr>
            <w:tcW w:w="3177" w:type="dxa"/>
            <w:gridSpan w:val="3"/>
            <w:tcBorders>
              <w:top w:val="single" w:sz="8" w:space="0" w:color="4F81BD"/>
              <w:bottom w:val="single" w:sz="8" w:space="0" w:color="4F81BD"/>
            </w:tcBorders>
            <w:shd w:val="clear" w:color="auto" w:fill="auto"/>
            <w:vAlign w:val="center"/>
          </w:tcPr>
          <w:p w:rsidR="00D51A2B" w:rsidRPr="009C5E28" w:rsidRDefault="00D51A2B" w:rsidP="00E201E7">
            <w:pPr>
              <w:spacing w:after="0"/>
              <w:jc w:val="center"/>
            </w:pPr>
            <w:r w:rsidRPr="009F040F">
              <w:rPr>
                <w:sz w:val="20"/>
              </w:rPr>
              <w:t>H: 260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51A2B" w:rsidRPr="009C5E28" w:rsidRDefault="00D51A2B" w:rsidP="00E201E7">
            <w:pPr>
              <w:spacing w:after="0"/>
              <w:jc w:val="center"/>
            </w:pPr>
            <w:r w:rsidRPr="009F040F">
              <w:rPr>
                <w:sz w:val="20"/>
              </w:rPr>
              <w:t>P: 223-​231+232-​370+378-​422</w:t>
            </w:r>
          </w:p>
        </w:tc>
      </w:tr>
      <w:tr w:rsidR="00D51A2B" w:rsidRPr="009C5E28" w:rsidTr="00E201E7">
        <w:trPr>
          <w:trHeight w:val="434"/>
        </w:trPr>
        <w:tc>
          <w:tcPr>
            <w:tcW w:w="3027" w:type="dxa"/>
            <w:gridSpan w:val="3"/>
            <w:shd w:val="clear" w:color="auto" w:fill="auto"/>
            <w:vAlign w:val="center"/>
          </w:tcPr>
          <w:p w:rsidR="00D51A2B" w:rsidRPr="009C5E28" w:rsidRDefault="00D51A2B" w:rsidP="00E201E7">
            <w:pPr>
              <w:spacing w:after="0" w:line="276" w:lineRule="auto"/>
              <w:jc w:val="center"/>
              <w:rPr>
                <w:bCs/>
                <w:sz w:val="20"/>
              </w:rPr>
            </w:pPr>
            <w:r>
              <w:rPr>
                <w:color w:val="auto"/>
                <w:sz w:val="20"/>
                <w:szCs w:val="20"/>
              </w:rPr>
              <w:t>Dest. Wasser</w:t>
            </w:r>
          </w:p>
        </w:tc>
        <w:tc>
          <w:tcPr>
            <w:tcW w:w="3177" w:type="dxa"/>
            <w:gridSpan w:val="3"/>
            <w:shd w:val="clear" w:color="auto" w:fill="auto"/>
            <w:vAlign w:val="center"/>
          </w:tcPr>
          <w:p w:rsidR="00D51A2B" w:rsidRPr="009C5E28" w:rsidRDefault="00D51A2B" w:rsidP="00E201E7">
            <w:pPr>
              <w:pStyle w:val="Beschriftung"/>
              <w:spacing w:after="0"/>
              <w:jc w:val="center"/>
              <w:rPr>
                <w:sz w:val="20"/>
              </w:rPr>
            </w:pPr>
            <w:r>
              <w:rPr>
                <w:sz w:val="20"/>
              </w:rPr>
              <w:t>-</w:t>
            </w:r>
          </w:p>
        </w:tc>
        <w:tc>
          <w:tcPr>
            <w:tcW w:w="3118" w:type="dxa"/>
            <w:gridSpan w:val="3"/>
            <w:shd w:val="clear" w:color="auto" w:fill="auto"/>
            <w:vAlign w:val="center"/>
          </w:tcPr>
          <w:p w:rsidR="00D51A2B" w:rsidRPr="009C5E28" w:rsidRDefault="00D51A2B" w:rsidP="00E201E7">
            <w:pPr>
              <w:pStyle w:val="Beschriftung"/>
              <w:spacing w:after="0"/>
              <w:jc w:val="center"/>
              <w:rPr>
                <w:sz w:val="20"/>
              </w:rPr>
            </w:pPr>
            <w:r>
              <w:rPr>
                <w:sz w:val="20"/>
              </w:rPr>
              <w:t>-</w:t>
            </w:r>
          </w:p>
        </w:tc>
      </w:tr>
      <w:tr w:rsidR="00D51A2B" w:rsidRPr="009C5E28" w:rsidTr="00E201E7">
        <w:tc>
          <w:tcPr>
            <w:tcW w:w="1009" w:type="dxa"/>
            <w:tcBorders>
              <w:top w:val="single" w:sz="8" w:space="0" w:color="4F81BD"/>
              <w:left w:val="single" w:sz="8" w:space="0" w:color="4F81BD"/>
              <w:bottom w:val="single" w:sz="8" w:space="0" w:color="4F81BD"/>
            </w:tcBorders>
            <w:shd w:val="clear" w:color="auto" w:fill="auto"/>
            <w:vAlign w:val="center"/>
          </w:tcPr>
          <w:p w:rsidR="00D51A2B" w:rsidRPr="009C5E28" w:rsidRDefault="00D51A2B" w:rsidP="00E201E7">
            <w:pPr>
              <w:spacing w:after="0"/>
              <w:jc w:val="center"/>
              <w:rPr>
                <w:b/>
                <w:bCs/>
              </w:rPr>
            </w:pPr>
            <w:r>
              <w:rPr>
                <w:b/>
                <w:noProof/>
                <w:lang w:eastAsia="de-DE"/>
              </w:rPr>
              <w:drawing>
                <wp:inline distT="0" distB="0" distL="0" distR="0">
                  <wp:extent cx="504190" cy="504190"/>
                  <wp:effectExtent l="19050" t="0" r="0" b="0"/>
                  <wp:docPr id="62"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prin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51A2B" w:rsidRPr="009C5E28" w:rsidRDefault="00D51A2B" w:rsidP="00E201E7">
            <w:pPr>
              <w:spacing w:after="0"/>
              <w:jc w:val="center"/>
            </w:pPr>
            <w:r>
              <w:rPr>
                <w:noProof/>
                <w:lang w:eastAsia="de-DE"/>
              </w:rPr>
              <w:drawing>
                <wp:inline distT="0" distB="0" distL="0" distR="0">
                  <wp:extent cx="504190" cy="504190"/>
                  <wp:effectExtent l="0" t="0" r="0" b="0"/>
                  <wp:docPr id="63"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51A2B" w:rsidRPr="009C5E28" w:rsidRDefault="00D51A2B" w:rsidP="00E201E7">
            <w:pPr>
              <w:spacing w:after="0"/>
              <w:jc w:val="center"/>
            </w:pPr>
            <w:r>
              <w:rPr>
                <w:noProof/>
                <w:lang w:eastAsia="de-DE"/>
              </w:rPr>
              <w:drawing>
                <wp:inline distT="0" distB="0" distL="0" distR="0">
                  <wp:extent cx="504190" cy="504190"/>
                  <wp:effectExtent l="19050" t="0" r="0" b="0"/>
                  <wp:docPr id="64"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51A2B" w:rsidRPr="009C5E28" w:rsidRDefault="00D51A2B" w:rsidP="00E201E7">
            <w:pPr>
              <w:spacing w:after="0"/>
              <w:jc w:val="center"/>
            </w:pPr>
            <w:r>
              <w:rPr>
                <w:noProof/>
                <w:lang w:eastAsia="de-DE"/>
              </w:rPr>
              <w:drawing>
                <wp:inline distT="0" distB="0" distL="0" distR="0">
                  <wp:extent cx="504190" cy="504190"/>
                  <wp:effectExtent l="0" t="0" r="0" b="0"/>
                  <wp:docPr id="6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51A2B" w:rsidRPr="009C5E28" w:rsidRDefault="00D51A2B" w:rsidP="00E201E7">
            <w:pPr>
              <w:spacing w:after="0"/>
              <w:jc w:val="center"/>
            </w:pPr>
            <w:r>
              <w:rPr>
                <w:noProof/>
                <w:lang w:eastAsia="de-DE"/>
              </w:rPr>
              <w:drawing>
                <wp:inline distT="0" distB="0" distL="0" distR="0">
                  <wp:extent cx="504190" cy="504190"/>
                  <wp:effectExtent l="0" t="0" r="0" b="0"/>
                  <wp:docPr id="66"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51A2B" w:rsidRPr="009C5E28" w:rsidRDefault="00D51A2B" w:rsidP="00E201E7">
            <w:pPr>
              <w:spacing w:after="0"/>
              <w:jc w:val="center"/>
            </w:pPr>
            <w:r>
              <w:rPr>
                <w:noProof/>
                <w:lang w:eastAsia="de-DE"/>
              </w:rPr>
              <w:drawing>
                <wp:inline distT="0" distB="0" distL="0" distR="0">
                  <wp:extent cx="504190" cy="504190"/>
                  <wp:effectExtent l="0" t="0" r="0" b="0"/>
                  <wp:docPr id="67"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51A2B" w:rsidRPr="009C5E28" w:rsidRDefault="00D51A2B" w:rsidP="00E201E7">
            <w:pPr>
              <w:spacing w:after="0"/>
              <w:jc w:val="center"/>
            </w:pPr>
            <w:r>
              <w:rPr>
                <w:noProof/>
                <w:lang w:eastAsia="de-DE"/>
              </w:rPr>
              <w:drawing>
                <wp:inline distT="0" distB="0" distL="0" distR="0">
                  <wp:extent cx="504190" cy="504190"/>
                  <wp:effectExtent l="0" t="0" r="0" b="0"/>
                  <wp:docPr id="6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51A2B" w:rsidRPr="009C5E28" w:rsidRDefault="00D51A2B" w:rsidP="00E201E7">
            <w:pPr>
              <w:spacing w:after="0"/>
              <w:jc w:val="center"/>
            </w:pPr>
            <w:r>
              <w:rPr>
                <w:noProof/>
                <w:lang w:eastAsia="de-DE"/>
              </w:rPr>
              <w:drawing>
                <wp:inline distT="0" distB="0" distL="0" distR="0">
                  <wp:extent cx="511175" cy="511175"/>
                  <wp:effectExtent l="19050" t="0" r="3175" b="0"/>
                  <wp:docPr id="69"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prin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51A2B" w:rsidRPr="009C5E28" w:rsidRDefault="00D51A2B" w:rsidP="00E201E7">
            <w:pPr>
              <w:spacing w:after="0"/>
              <w:jc w:val="center"/>
            </w:pPr>
            <w:r>
              <w:rPr>
                <w:noProof/>
                <w:lang w:eastAsia="de-DE"/>
              </w:rPr>
              <w:drawing>
                <wp:inline distT="0" distB="0" distL="0" distR="0">
                  <wp:extent cx="504190" cy="504190"/>
                  <wp:effectExtent l="0" t="0" r="0" b="0"/>
                  <wp:docPr id="70"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D51A2B" w:rsidRDefault="00D51A2B" w:rsidP="00D51A2B">
      <w:pPr>
        <w:tabs>
          <w:tab w:val="left" w:pos="1701"/>
          <w:tab w:val="left" w:pos="1985"/>
        </w:tabs>
        <w:ind w:left="1980" w:hanging="1980"/>
      </w:pPr>
    </w:p>
    <w:p w:rsidR="00D51A2B" w:rsidRDefault="00D51A2B" w:rsidP="00D51A2B">
      <w:pPr>
        <w:tabs>
          <w:tab w:val="left" w:pos="1701"/>
          <w:tab w:val="left" w:pos="1985"/>
        </w:tabs>
        <w:ind w:left="1980" w:hanging="1980"/>
      </w:pPr>
      <w:r>
        <w:t xml:space="preserve">Materialien: </w:t>
      </w:r>
      <w:r>
        <w:tab/>
      </w:r>
      <w:r>
        <w:tab/>
        <w:t>Zweihalsrundkolben, Tropftrichter, pneumatische Wanne, 2 Standzylinder, 6 Reagenzgläser, Stativmaterial, Spatel</w:t>
      </w:r>
    </w:p>
    <w:p w:rsidR="00D51A2B" w:rsidRPr="00ED07C2" w:rsidRDefault="00D51A2B" w:rsidP="00D51A2B">
      <w:pPr>
        <w:tabs>
          <w:tab w:val="left" w:pos="1701"/>
          <w:tab w:val="left" w:pos="1985"/>
        </w:tabs>
        <w:ind w:left="1980" w:hanging="1980"/>
      </w:pPr>
      <w:r>
        <w:t>Chemikalien:</w:t>
      </w:r>
      <w:r>
        <w:tab/>
      </w:r>
      <w:r>
        <w:tab/>
        <w:t>Calciumcarbid, dest. Wasser</w:t>
      </w:r>
    </w:p>
    <w:p w:rsidR="00D51A2B" w:rsidRDefault="0098440F" w:rsidP="00D51A2B">
      <w:pPr>
        <w:tabs>
          <w:tab w:val="left" w:pos="1701"/>
          <w:tab w:val="left" w:pos="1985"/>
        </w:tabs>
        <w:ind w:left="1980" w:hanging="1980"/>
      </w:pPr>
      <w:r>
        <w:rPr>
          <w:rFonts w:eastAsiaTheme="minorEastAsia"/>
          <w:noProof/>
        </w:rPr>
        <w:pict>
          <v:shape id="_x0000_s1051" type="#_x0000_t202" style="position:absolute;left:0;text-align:left;margin-left:313.15pt;margin-top:227.7pt;width:219.05pt;height:25.15pt;z-index:251661312;mso-width-relative:margin;mso-height-relative:margin" strokecolor="white [3212]">
            <v:textbox>
              <w:txbxContent>
                <w:p w:rsidR="00D51A2B" w:rsidRPr="0098440F" w:rsidRDefault="00D51A2B" w:rsidP="00D51A2B">
                  <w:pPr>
                    <w:rPr>
                      <w:sz w:val="18"/>
                      <w:szCs w:val="18"/>
                    </w:rPr>
                  </w:pPr>
                  <w:r w:rsidRPr="0098440F">
                    <w:rPr>
                      <w:sz w:val="18"/>
                      <w:szCs w:val="18"/>
                    </w:rPr>
                    <w:t>Abb1. – Versuchsaufbau zur Herstellung von Ethin</w:t>
                  </w:r>
                </w:p>
              </w:txbxContent>
            </v:textbox>
            <w10:wrap type="square"/>
          </v:shape>
        </w:pict>
      </w:r>
      <w:r>
        <w:rPr>
          <w:noProof/>
          <w:lang w:eastAsia="de-DE"/>
        </w:rPr>
        <w:drawing>
          <wp:anchor distT="0" distB="0" distL="114300" distR="114300" simplePos="0" relativeHeight="251662336" behindDoc="0" locked="0" layoutInCell="1" allowOverlap="1">
            <wp:simplePos x="0" y="0"/>
            <wp:positionH relativeFrom="column">
              <wp:posOffset>3957955</wp:posOffset>
            </wp:positionH>
            <wp:positionV relativeFrom="paragraph">
              <wp:posOffset>5715</wp:posOffset>
            </wp:positionV>
            <wp:extent cx="2276475" cy="2781300"/>
            <wp:effectExtent l="19050" t="0" r="9525" b="0"/>
            <wp:wrapSquare wrapText="bothSides"/>
            <wp:docPr id="72" name="Bild 6" descr="C:\Users\Till\Desktop\Ethin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ill\Desktop\Ethinh.png"/>
                    <pic:cNvPicPr>
                      <a:picLocks noChangeAspect="1" noChangeArrowheads="1"/>
                    </pic:cNvPicPr>
                  </pic:nvPicPr>
                  <pic:blipFill>
                    <a:blip r:embed="rId17" cstate="print"/>
                    <a:srcRect/>
                    <a:stretch>
                      <a:fillRect/>
                    </a:stretch>
                  </pic:blipFill>
                  <pic:spPr bwMode="auto">
                    <a:xfrm>
                      <a:off x="0" y="0"/>
                      <a:ext cx="2276475" cy="2781300"/>
                    </a:xfrm>
                    <a:prstGeom prst="rect">
                      <a:avLst/>
                    </a:prstGeom>
                    <a:noFill/>
                    <a:ln w="9525">
                      <a:noFill/>
                      <a:miter lim="800000"/>
                      <a:headEnd/>
                      <a:tailEnd/>
                    </a:ln>
                  </pic:spPr>
                </pic:pic>
              </a:graphicData>
            </a:graphic>
          </wp:anchor>
        </w:drawing>
      </w:r>
      <w:r w:rsidR="00D51A2B">
        <w:t xml:space="preserve">Durchführung: </w:t>
      </w:r>
      <w:r w:rsidR="00D51A2B">
        <w:tab/>
      </w:r>
      <w:r w:rsidR="00D51A2B">
        <w:tab/>
      </w:r>
      <w:r w:rsidR="00D51A2B">
        <w:tab/>
        <w:t xml:space="preserve"> In den Zweihalsrundkolben werden etwas 15g Calciumcarbid gegeben. Im Abzug wird in der Apparatur vorsichtig Wasser in den Zweihalsrundkolben gelassen, so dass eine gleichmäßige Gasentwicklung einsetzt. Das entst</w:t>
      </w:r>
      <w:r w:rsidR="00D51A2B">
        <w:t>e</w:t>
      </w:r>
      <w:r w:rsidR="00D51A2B">
        <w:t>hende Gas kann über die pneumatische Wanne in den Standzylindern aufgefangen werden. Mit dem zu erst gefüllten Standzylinder sollte kein Ve</w:t>
      </w:r>
      <w:r w:rsidR="00D51A2B">
        <w:t>r</w:t>
      </w:r>
      <w:r w:rsidR="00D51A2B">
        <w:t>brennungsexperiment durchgeführt werden, da es ein Luft-Ethin-Gemisch enthält, welches hoch explosiv ist.</w:t>
      </w:r>
    </w:p>
    <w:p w:rsidR="00D51A2B" w:rsidRDefault="00D51A2B" w:rsidP="00D51A2B">
      <w:pPr>
        <w:tabs>
          <w:tab w:val="left" w:pos="1701"/>
          <w:tab w:val="left" w:pos="1985"/>
        </w:tabs>
        <w:ind w:left="1980" w:hanging="1980"/>
      </w:pPr>
      <w:r>
        <w:t>Beobachtung:</w:t>
      </w:r>
      <w:r>
        <w:tab/>
      </w:r>
      <w:r>
        <w:tab/>
        <w:t>Das Calciumcarbid beginnt bei Wasserzugabe stark aufzuschäumen und es bildet sich ein Gas.</w:t>
      </w:r>
      <w:r w:rsidR="0098440F" w:rsidRPr="0098440F">
        <w:rPr>
          <w:rFonts w:eastAsiaTheme="minorEastAsia"/>
          <w:noProof/>
          <w:lang w:eastAsia="de-DE"/>
        </w:rPr>
        <w:t xml:space="preserve"> </w:t>
      </w:r>
    </w:p>
    <w:p w:rsidR="009E15E9" w:rsidRDefault="00D51A2B" w:rsidP="009E15E9">
      <w:pPr>
        <w:tabs>
          <w:tab w:val="left" w:pos="1701"/>
          <w:tab w:val="left" w:pos="1985"/>
        </w:tabs>
        <w:ind w:left="1980" w:hanging="1980"/>
        <w:rPr>
          <w:rFonts w:eastAsiaTheme="minorEastAsia"/>
        </w:rPr>
      </w:pPr>
      <w:r>
        <w:t>Deutung:</w:t>
      </w:r>
      <w:r>
        <w:tab/>
      </w:r>
      <w:r>
        <w:tab/>
      </w:r>
      <w:r>
        <w:tab/>
        <w:t>In einer exothermen Reaktion entstehen Ethin und Calciumhydroxid.</w:t>
      </w:r>
      <w:r>
        <w:br/>
      </w:r>
      <m:oMathPara>
        <m:oMath>
          <m:r>
            <w:rPr>
              <w:rFonts w:ascii="Cambria Math" w:eastAsiaTheme="minorEastAsia" w:hAnsi="Cambria Math"/>
            </w:rPr>
            <m:t>Ca</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2(s)</m:t>
              </m:r>
            </m:sub>
          </m:sSub>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O</m:t>
              </m:r>
            </m:e>
            <m:sub>
              <m:d>
                <m:dPr>
                  <m:ctrlPr>
                    <w:rPr>
                      <w:rFonts w:ascii="Cambria Math" w:eastAsiaTheme="minorEastAsia" w:hAnsi="Cambria Math"/>
                      <w:i/>
                    </w:rPr>
                  </m:ctrlPr>
                </m:dPr>
                <m:e>
                  <m:r>
                    <w:rPr>
                      <w:rFonts w:ascii="Cambria Math" w:eastAsiaTheme="minorEastAsia" w:hAnsi="Cambria Math"/>
                    </w:rPr>
                    <m:t>l</m:t>
                  </m:r>
                </m:e>
              </m:d>
            </m:sub>
          </m:sSub>
          <m:r>
            <w:rPr>
              <w:rFonts w:ascii="Cambria Math" w:eastAsiaTheme="minorEastAsia" w:hAnsi="Cambria Math"/>
            </w:rPr>
            <m:t>→Ca</m:t>
          </m:r>
          <m:sSub>
            <m:sSubPr>
              <m:ctrlPr>
                <w:rPr>
                  <w:rFonts w:ascii="Cambria Math" w:eastAsiaTheme="minorEastAsia" w:hAnsi="Cambria Math"/>
                  <w:i/>
                </w:rPr>
              </m:ctrlPr>
            </m:sSubPr>
            <m:e>
              <m:d>
                <m:dPr>
                  <m:ctrlPr>
                    <w:rPr>
                      <w:rFonts w:ascii="Cambria Math" w:eastAsiaTheme="minorEastAsia" w:hAnsi="Cambria Math"/>
                      <w:i/>
                    </w:rPr>
                  </m:ctrlPr>
                </m:dPr>
                <m:e>
                  <m:r>
                    <w:rPr>
                      <w:rFonts w:ascii="Cambria Math" w:eastAsiaTheme="minorEastAsia" w:hAnsi="Cambria Math"/>
                    </w:rPr>
                    <m:t>OH</m:t>
                  </m:r>
                </m:e>
              </m:d>
            </m:e>
            <m:sub>
              <m:r>
                <w:rPr>
                  <w:rFonts w:ascii="Cambria Math" w:eastAsiaTheme="minorEastAsia" w:hAnsi="Cambria Math"/>
                </w:rPr>
                <m:t>2</m:t>
              </m:r>
              <m:d>
                <m:dPr>
                  <m:ctrlPr>
                    <w:rPr>
                      <w:rFonts w:ascii="Cambria Math" w:eastAsiaTheme="minorEastAsia" w:hAnsi="Cambria Math"/>
                      <w:i/>
                    </w:rPr>
                  </m:ctrlPr>
                </m:dPr>
                <m:e>
                  <m:r>
                    <w:rPr>
                      <w:rFonts w:ascii="Cambria Math" w:eastAsiaTheme="minorEastAsia" w:hAnsi="Cambria Math"/>
                    </w:rPr>
                    <m:t>s</m:t>
                  </m:r>
                </m:e>
              </m:d>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sSub>
            <m:sSubPr>
              <m:ctrlPr>
                <w:rPr>
                  <w:rFonts w:ascii="Cambria Math" w:eastAsiaTheme="minorEastAsia" w:hAnsi="Cambria Math"/>
                  <w:i/>
                </w:rPr>
              </m:ctrlPr>
            </m:sSubPr>
            <m:e>
              <m:r>
                <w:rPr>
                  <w:rFonts w:ascii="Cambria Math" w:eastAsiaTheme="minorEastAsia" w:hAnsi="Cambria Math"/>
                </w:rPr>
                <m:t>H</m:t>
              </m:r>
            </m:e>
            <m:sub>
              <m:r>
                <w:rPr>
                  <w:rFonts w:ascii="Cambria Math" w:eastAsiaTheme="minorEastAsia" w:hAnsi="Cambria Math"/>
                </w:rPr>
                <m:t>2(g)</m:t>
              </m:r>
            </m:sub>
          </m:sSub>
        </m:oMath>
      </m:oMathPara>
    </w:p>
    <w:p w:rsidR="009E15E9" w:rsidRDefault="009E15E9" w:rsidP="009E15E9">
      <w:pPr>
        <w:tabs>
          <w:tab w:val="left" w:pos="1701"/>
          <w:tab w:val="left" w:pos="1985"/>
        </w:tabs>
        <w:ind w:left="1980" w:hanging="1980"/>
        <w:rPr>
          <w:rFonts w:eastAsiaTheme="minorEastAsia"/>
        </w:rPr>
      </w:pPr>
      <w:r>
        <w:rPr>
          <w:rFonts w:eastAsiaTheme="minorEastAsia"/>
        </w:rPr>
        <w:lastRenderedPageBreak/>
        <w:t>Entsorgung:</w:t>
      </w:r>
      <w:r>
        <w:rPr>
          <w:rFonts w:eastAsiaTheme="minorEastAsia"/>
        </w:rPr>
        <w:tab/>
      </w:r>
      <w:r>
        <w:rPr>
          <w:rFonts w:eastAsiaTheme="minorEastAsia"/>
        </w:rPr>
        <w:tab/>
      </w:r>
      <w:r w:rsidRPr="009E15E9">
        <w:rPr>
          <w:rFonts w:eastAsiaTheme="minorEastAsia"/>
        </w:rPr>
        <w:t>Das Ethin wird für weitere Experimente verwendet. Die Calciumcarbidreste werden im Zweihalsrundkolben bis zur Beendung der Gasentwicklung weiter mit Wasser versetzt und das Gas über den Abzug abgeleitet. Bildet sich kein Gas mehr werden weitere 100 mL Wasser hinzugegeben, die Lösung neutralisiert und im Abguss entsorgt.</w:t>
      </w:r>
    </w:p>
    <w:p w:rsidR="009E15E9" w:rsidRPr="009E15E9" w:rsidRDefault="009E15E9" w:rsidP="009E15E9">
      <w:pPr>
        <w:tabs>
          <w:tab w:val="left" w:pos="1701"/>
          <w:tab w:val="left" w:pos="1985"/>
        </w:tabs>
        <w:ind w:left="1980" w:hanging="1980"/>
        <w:rPr>
          <w:rFonts w:eastAsiaTheme="minorEastAsia"/>
        </w:rPr>
      </w:pPr>
      <w:r>
        <w:rPr>
          <w:rFonts w:eastAsiaTheme="minorEastAsia"/>
        </w:rPr>
        <w:t>Literatur:</w:t>
      </w:r>
      <w:r>
        <w:rPr>
          <w:rFonts w:eastAsiaTheme="minorEastAsia"/>
        </w:rPr>
        <w:tab/>
      </w:r>
      <w:r>
        <w:rPr>
          <w:rFonts w:eastAsiaTheme="minorEastAsia"/>
        </w:rPr>
        <w:tab/>
      </w:r>
      <w:r w:rsidRPr="009E15E9">
        <w:rPr>
          <w:rFonts w:eastAsiaTheme="minorEastAsia"/>
        </w:rPr>
        <w:t>[1] Prof. Dr. Blume 2002, Chemie mit Ethin, http://www.chemieunterricht.de/dc2/tip/03_02.htm, zuletzt abgerufen am 07.08.2013</w:t>
      </w:r>
    </w:p>
    <w:p w:rsidR="009E15E9" w:rsidRDefault="009E15E9" w:rsidP="009E15E9">
      <w:pPr>
        <w:tabs>
          <w:tab w:val="left" w:pos="1701"/>
          <w:tab w:val="left" w:pos="1985"/>
        </w:tabs>
        <w:ind w:left="1980" w:hanging="1980"/>
        <w:rPr>
          <w:rFonts w:eastAsiaTheme="minorEastAsia"/>
        </w:rPr>
      </w:pPr>
      <w:r>
        <w:rPr>
          <w:rFonts w:eastAsiaTheme="minorEastAsia"/>
        </w:rPr>
        <w:tab/>
      </w:r>
      <w:r>
        <w:rPr>
          <w:rFonts w:eastAsiaTheme="minorEastAsia"/>
        </w:rPr>
        <w:tab/>
      </w:r>
      <w:r w:rsidRPr="009E15E9">
        <w:rPr>
          <w:rFonts w:eastAsiaTheme="minorEastAsia"/>
        </w:rPr>
        <w:t>[2] Hans Keune und Manfred Just 1999, Chemische Schulexperimente – Band 2 Organsiche Chemie, S. 66-67</w:t>
      </w:r>
    </w:p>
    <w:p w:rsidR="00C31120" w:rsidRPr="00BA4141" w:rsidRDefault="00D51A2B" w:rsidP="00D51A2B">
      <w:r>
        <w:pict>
          <v:shape id="_x0000_s1049" type="#_x0000_t202" style="width:462.45pt;height:138.65pt;mso-position-horizontal-relative:char;mso-position-vertical-relative:line;mso-width-relative:margin;mso-height-relative:margin" fillcolor="white [3201]" strokecolor="#c0504d [3205]" strokeweight="1pt">
            <v:stroke dashstyle="dash"/>
            <v:shadow color="#868686"/>
            <v:textbox style="mso-next-textbox:#_x0000_s1049">
              <w:txbxContent>
                <w:p w:rsidR="00D51A2B" w:rsidRPr="009F040F" w:rsidRDefault="00D51A2B" w:rsidP="00D51A2B">
                  <w:pPr>
                    <w:rPr>
                      <w:color w:val="auto"/>
                    </w:rPr>
                  </w:pPr>
                  <w:r w:rsidRPr="009F040F">
                    <w:rPr>
                      <w:color w:val="auto"/>
                    </w:rPr>
                    <w:t>Dieses Experiment eignet sich</w:t>
                  </w:r>
                  <w:r>
                    <w:rPr>
                      <w:color w:val="auto"/>
                    </w:rPr>
                    <w:t>,</w:t>
                  </w:r>
                  <w:r w:rsidRPr="009F040F">
                    <w:rPr>
                      <w:color w:val="auto"/>
                    </w:rPr>
                    <w:t xml:space="preserve"> um mit SuS die Stoffklasse der Alkine zu besprechen. Insbeso</w:t>
                  </w:r>
                  <w:r w:rsidRPr="009F040F">
                    <w:rPr>
                      <w:color w:val="auto"/>
                    </w:rPr>
                    <w:t>n</w:t>
                  </w:r>
                  <w:r w:rsidRPr="009F040F">
                    <w:rPr>
                      <w:color w:val="auto"/>
                    </w:rPr>
                    <w:t>dere ist dieser Versuch eine Vorbereitung der Experimente in V5, da es in Schulen im Regelfall keine Ethin-Bomben gibt.</w:t>
                  </w:r>
                </w:p>
                <w:p w:rsidR="00D51A2B" w:rsidRPr="009F040F" w:rsidRDefault="00D51A2B" w:rsidP="00D51A2B">
                  <w:pPr>
                    <w:rPr>
                      <w:color w:val="auto"/>
                    </w:rPr>
                  </w:pPr>
                  <w:r w:rsidRPr="009F040F">
                    <w:rPr>
                      <w:color w:val="auto"/>
                    </w:rPr>
                    <w:t>Besondere Vorsicht ist bei Verbrennungsexperimenten geboten, da Ethin-Luft-Gemische sehr explosiv sind.</w:t>
                  </w:r>
                </w:p>
                <w:p w:rsidR="00D51A2B" w:rsidRPr="009F040F" w:rsidRDefault="00D51A2B" w:rsidP="00D51A2B">
                  <w:pPr>
                    <w:rPr>
                      <w:color w:val="auto"/>
                    </w:rPr>
                  </w:pPr>
                  <w:r w:rsidRPr="009F040F">
                    <w:rPr>
                      <w:color w:val="auto"/>
                    </w:rPr>
                    <w:t>Wie bei der Herstellung von Gasen üblich, ist unter dem Abzug zu arbeiten.</w:t>
                  </w:r>
                </w:p>
              </w:txbxContent>
            </v:textbox>
            <w10:wrap type="none"/>
            <w10:anchorlock/>
          </v:shape>
        </w:pict>
      </w:r>
    </w:p>
    <w:sectPr w:rsidR="00C31120" w:rsidRPr="00BA4141" w:rsidSect="00C31120">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98A" w:rsidRDefault="00F1698A" w:rsidP="0007623E">
      <w:pPr>
        <w:spacing w:after="0" w:line="240" w:lineRule="auto"/>
      </w:pPr>
      <w:r>
        <w:separator/>
      </w:r>
    </w:p>
  </w:endnote>
  <w:endnote w:type="continuationSeparator" w:id="1">
    <w:p w:rsidR="00F1698A" w:rsidRDefault="00F1698A" w:rsidP="000762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42" w:rsidRDefault="00622542">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42" w:rsidRDefault="00622542">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42" w:rsidRDefault="00622542">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98A" w:rsidRDefault="00F1698A" w:rsidP="0007623E">
      <w:pPr>
        <w:spacing w:after="0" w:line="240" w:lineRule="auto"/>
      </w:pPr>
      <w:r>
        <w:separator/>
      </w:r>
    </w:p>
  </w:footnote>
  <w:footnote w:type="continuationSeparator" w:id="1">
    <w:p w:rsidR="00F1698A" w:rsidRDefault="00F1698A" w:rsidP="000762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42" w:rsidRDefault="00622542">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23E" w:rsidRDefault="00622542">
    <w:pPr>
      <w:pStyle w:val="Kopfzeile"/>
    </w:pPr>
    <w:r>
      <w:t>V1 - Herstellung von Ethin</w:t>
    </w:r>
    <w:r w:rsidR="0096712D">
      <w:tab/>
    </w:r>
    <w:r w:rsidR="0096712D">
      <w:tab/>
    </w:r>
    <w:r w:rsidR="0096712D">
      <w:tab/>
    </w:r>
    <w:fldSimple w:instr=" PAGE   \* MERGEFORMAT ">
      <w:r>
        <w:rPr>
          <w:noProof/>
        </w:rPr>
        <w:t>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42" w:rsidRDefault="00622542">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7623E"/>
    <w:rsid w:val="0007623E"/>
    <w:rsid w:val="002E5E80"/>
    <w:rsid w:val="004A194E"/>
    <w:rsid w:val="00622542"/>
    <w:rsid w:val="008A594E"/>
    <w:rsid w:val="0096712D"/>
    <w:rsid w:val="0098440F"/>
    <w:rsid w:val="009A7400"/>
    <w:rsid w:val="009E15E9"/>
    <w:rsid w:val="00A935F2"/>
    <w:rsid w:val="00BA4141"/>
    <w:rsid w:val="00C31120"/>
    <w:rsid w:val="00D51A2B"/>
    <w:rsid w:val="00E113F3"/>
    <w:rsid w:val="00E743BB"/>
    <w:rsid w:val="00EA45ED"/>
    <w:rsid w:val="00F1698A"/>
    <w:rsid w:val="00F4108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623E"/>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07623E"/>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7623E"/>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7623E"/>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7623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7623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7623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7623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7623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7623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7623E"/>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07623E"/>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07623E"/>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07623E"/>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7623E"/>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7623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7623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7623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7623E"/>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7623E"/>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07623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7623E"/>
    <w:rPr>
      <w:rFonts w:ascii="Tahoma" w:hAnsi="Tahoma" w:cs="Tahoma"/>
      <w:color w:val="1D1B11" w:themeColor="background2" w:themeShade="1A"/>
      <w:sz w:val="16"/>
      <w:szCs w:val="16"/>
    </w:rPr>
  </w:style>
  <w:style w:type="paragraph" w:styleId="Kopfzeile">
    <w:name w:val="header"/>
    <w:basedOn w:val="Standard"/>
    <w:link w:val="KopfzeileZchn"/>
    <w:uiPriority w:val="99"/>
    <w:unhideWhenUsed/>
    <w:rsid w:val="000762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623E"/>
    <w:rPr>
      <w:rFonts w:ascii="Cambria" w:hAnsi="Cambria"/>
      <w:color w:val="1D1B11" w:themeColor="background2" w:themeShade="1A"/>
    </w:rPr>
  </w:style>
  <w:style w:type="paragraph" w:styleId="Fuzeile">
    <w:name w:val="footer"/>
    <w:basedOn w:val="Standard"/>
    <w:link w:val="FuzeileZchn"/>
    <w:uiPriority w:val="99"/>
    <w:semiHidden/>
    <w:unhideWhenUsed/>
    <w:rsid w:val="0007623E"/>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07623E"/>
    <w:rPr>
      <w:rFonts w:ascii="Cambria" w:hAnsi="Cambria"/>
      <w:color w:val="1D1B11" w:themeColor="background2" w:themeShade="1A"/>
    </w:rPr>
  </w:style>
  <w:style w:type="paragraph" w:styleId="Textkrper">
    <w:name w:val="Body Text"/>
    <w:basedOn w:val="Standard"/>
    <w:link w:val="TextkrperZchn"/>
    <w:rsid w:val="00E113F3"/>
    <w:pPr>
      <w:suppressAutoHyphens/>
      <w:spacing w:after="120"/>
    </w:pPr>
    <w:rPr>
      <w:rFonts w:eastAsia="Arial Unicode MS" w:cs="Calibri"/>
      <w:color w:val="1D1B11"/>
      <w:kern w:val="1"/>
    </w:rPr>
  </w:style>
  <w:style w:type="character" w:customStyle="1" w:styleId="TextkrperZchn">
    <w:name w:val="Textkörper Zchn"/>
    <w:basedOn w:val="Absatz-Standardschriftart"/>
    <w:link w:val="Textkrper"/>
    <w:rsid w:val="00E113F3"/>
    <w:rPr>
      <w:rFonts w:ascii="Cambria" w:eastAsia="Arial Unicode MS" w:hAnsi="Cambria" w:cs="Calibri"/>
      <w:color w:val="1D1B11"/>
      <w:kern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B7285-7A4B-4B92-86AB-DF02FA45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1416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Axel Wuttke</dc:creator>
  <cp:lastModifiedBy>Axel Wuttke</cp:lastModifiedBy>
  <cp:revision>2</cp:revision>
  <dcterms:created xsi:type="dcterms:W3CDTF">2013-08-12T20:30:00Z</dcterms:created>
  <dcterms:modified xsi:type="dcterms:W3CDTF">2013-08-12T20:30:00Z</dcterms:modified>
</cp:coreProperties>
</file>