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4D" w:rsidRPr="0079054D" w:rsidRDefault="0079054D" w:rsidP="0079054D">
      <w:pPr>
        <w:rPr>
          <w:b/>
          <w:sz w:val="32"/>
          <w:szCs w:val="32"/>
        </w:rPr>
      </w:pPr>
      <w:r w:rsidRPr="0079054D">
        <w:rPr>
          <w:b/>
          <w:noProof/>
          <w:sz w:val="32"/>
          <w:szCs w:val="32"/>
        </w:rPr>
        <w:pict>
          <v:shapetype id="_x0000_t202" coordsize="21600,21600" o:spt="202" path="m,l,21600r21600,l21600,xe">
            <v:stroke joinstyle="miter"/>
            <v:path gradientshapeok="t" o:connecttype="rect"/>
          </v:shapetype>
          <v:shape id="_x0000_s1059" type="#_x0000_t202" style="position:absolute;left:0;text-align:left;margin-left:-4.15pt;margin-top:38.65pt;width:468.95pt;height:65.6pt;z-index:251660288;mso-width-relative:margin;mso-height-relative:margin" strokecolor="#1f497d [3215]">
            <v:stroke dashstyle="dash"/>
            <v:textbox>
              <w:txbxContent>
                <w:p w:rsidR="0079054D" w:rsidRDefault="0079054D" w:rsidP="0079054D">
                  <w:r>
                    <w:t>Mit diesen Experimenten werden Eigenschaften und Nachweisreaktionen der Alekene aufg</w:t>
                  </w:r>
                  <w:r>
                    <w:t>e</w:t>
                  </w:r>
                  <w:r>
                    <w:t>zeigt. Die SuS sollten den grundlegenden Aufbau von Kohlenwasserstoffen kennen und mit dem Aufzeichnen organischer Reaktionsmechanismen vertraut sein.</w:t>
                  </w:r>
                </w:p>
              </w:txbxContent>
            </v:textbox>
            <w10:wrap type="square"/>
          </v:shape>
        </w:pict>
      </w:r>
      <w:bookmarkStart w:id="0" w:name="_Toc364077271"/>
      <w:r w:rsidRPr="0079054D">
        <w:rPr>
          <w:b/>
          <w:sz w:val="32"/>
          <w:szCs w:val="32"/>
        </w:rPr>
        <w:t>V4 – Reaktionen des Ethens</w:t>
      </w:r>
      <w:bookmarkEnd w:id="0"/>
    </w:p>
    <w:p w:rsidR="0079054D" w:rsidRDefault="0079054D" w:rsidP="0079054D"/>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tblPr>
      <w:tblGrid>
        <w:gridCol w:w="1009"/>
        <w:gridCol w:w="1009"/>
        <w:gridCol w:w="1009"/>
        <w:gridCol w:w="1009"/>
        <w:gridCol w:w="1175"/>
        <w:gridCol w:w="993"/>
        <w:gridCol w:w="975"/>
        <w:gridCol w:w="1009"/>
        <w:gridCol w:w="1134"/>
      </w:tblGrid>
      <w:tr w:rsidR="0079054D" w:rsidRPr="009C5E28" w:rsidTr="00E201E7">
        <w:tc>
          <w:tcPr>
            <w:tcW w:w="9322" w:type="dxa"/>
            <w:gridSpan w:val="9"/>
            <w:shd w:val="clear" w:color="auto" w:fill="4F81BD"/>
            <w:vAlign w:val="center"/>
          </w:tcPr>
          <w:p w:rsidR="0079054D" w:rsidRPr="009C5E28" w:rsidRDefault="0079054D" w:rsidP="00E201E7">
            <w:pPr>
              <w:spacing w:after="0"/>
              <w:jc w:val="center"/>
              <w:rPr>
                <w:b/>
                <w:bCs/>
              </w:rPr>
            </w:pPr>
            <w:r w:rsidRPr="009C5E28">
              <w:rPr>
                <w:b/>
                <w:bCs/>
              </w:rPr>
              <w:t>Gefahrenstoffe</w:t>
            </w:r>
          </w:p>
        </w:tc>
      </w:tr>
      <w:tr w:rsidR="0079054D" w:rsidRPr="009C5E28" w:rsidTr="00E201E7">
        <w:trPr>
          <w:trHeight w:val="437"/>
        </w:trPr>
        <w:tc>
          <w:tcPr>
            <w:tcW w:w="3027" w:type="dxa"/>
            <w:gridSpan w:val="3"/>
            <w:shd w:val="clear" w:color="auto" w:fill="auto"/>
            <w:vAlign w:val="center"/>
          </w:tcPr>
          <w:p w:rsidR="0079054D" w:rsidRPr="009C5E28" w:rsidRDefault="0079054D" w:rsidP="00E201E7">
            <w:pPr>
              <w:spacing w:after="0" w:line="276" w:lineRule="auto"/>
              <w:jc w:val="center"/>
              <w:rPr>
                <w:b/>
                <w:bCs/>
              </w:rPr>
            </w:pPr>
            <w:r>
              <w:rPr>
                <w:sz w:val="20"/>
              </w:rPr>
              <w:t>BAYERS Reagenz</w:t>
            </w:r>
          </w:p>
        </w:tc>
        <w:tc>
          <w:tcPr>
            <w:tcW w:w="3177" w:type="dxa"/>
            <w:gridSpan w:val="3"/>
            <w:shd w:val="clear" w:color="auto" w:fill="auto"/>
            <w:vAlign w:val="center"/>
          </w:tcPr>
          <w:p w:rsidR="0079054D" w:rsidRPr="009F040F" w:rsidRDefault="0079054D" w:rsidP="00E201E7">
            <w:pPr>
              <w:pStyle w:val="Beschriftung"/>
              <w:spacing w:after="0"/>
              <w:jc w:val="center"/>
              <w:rPr>
                <w:sz w:val="20"/>
              </w:rPr>
            </w:pPr>
            <w:r w:rsidRPr="00981534">
              <w:rPr>
                <w:sz w:val="20"/>
              </w:rPr>
              <w:t>H: 272-302-410</w:t>
            </w:r>
          </w:p>
        </w:tc>
        <w:tc>
          <w:tcPr>
            <w:tcW w:w="3118" w:type="dxa"/>
            <w:gridSpan w:val="3"/>
            <w:shd w:val="clear" w:color="auto" w:fill="auto"/>
            <w:vAlign w:val="center"/>
          </w:tcPr>
          <w:p w:rsidR="0079054D" w:rsidRPr="009F040F" w:rsidRDefault="0079054D" w:rsidP="00E201E7">
            <w:pPr>
              <w:pStyle w:val="Beschriftung"/>
              <w:spacing w:after="0"/>
              <w:jc w:val="center"/>
              <w:rPr>
                <w:sz w:val="20"/>
              </w:rPr>
            </w:pPr>
            <w:r w:rsidRPr="00981534">
              <w:rPr>
                <w:sz w:val="20"/>
              </w:rPr>
              <w:t>P: 210-​273</w:t>
            </w:r>
          </w:p>
        </w:tc>
      </w:tr>
      <w:tr w:rsidR="0079054D" w:rsidRPr="009C5E28" w:rsidTr="00E201E7">
        <w:trPr>
          <w:trHeight w:val="434"/>
        </w:trPr>
        <w:tc>
          <w:tcPr>
            <w:tcW w:w="3027" w:type="dxa"/>
            <w:gridSpan w:val="3"/>
            <w:shd w:val="clear" w:color="auto" w:fill="auto"/>
            <w:vAlign w:val="center"/>
          </w:tcPr>
          <w:p w:rsidR="0079054D" w:rsidRPr="009C5E28" w:rsidRDefault="0079054D" w:rsidP="00E201E7">
            <w:pPr>
              <w:spacing w:after="0" w:line="276" w:lineRule="auto"/>
              <w:jc w:val="center"/>
              <w:rPr>
                <w:bCs/>
                <w:sz w:val="20"/>
              </w:rPr>
            </w:pPr>
            <w:r>
              <w:rPr>
                <w:color w:val="auto"/>
                <w:sz w:val="20"/>
                <w:szCs w:val="20"/>
              </w:rPr>
              <w:t>Bromwasser</w:t>
            </w:r>
          </w:p>
        </w:tc>
        <w:tc>
          <w:tcPr>
            <w:tcW w:w="3177" w:type="dxa"/>
            <w:gridSpan w:val="3"/>
            <w:shd w:val="clear" w:color="auto" w:fill="auto"/>
            <w:vAlign w:val="center"/>
          </w:tcPr>
          <w:p w:rsidR="0079054D" w:rsidRPr="009C5E28" w:rsidRDefault="0079054D" w:rsidP="00E201E7">
            <w:pPr>
              <w:pStyle w:val="Beschriftung"/>
              <w:spacing w:after="0"/>
              <w:jc w:val="center"/>
              <w:rPr>
                <w:sz w:val="20"/>
              </w:rPr>
            </w:pPr>
            <w:r w:rsidRPr="0097132F">
              <w:rPr>
                <w:sz w:val="20"/>
              </w:rPr>
              <w:t>H: 330-314-400</w:t>
            </w:r>
          </w:p>
        </w:tc>
        <w:tc>
          <w:tcPr>
            <w:tcW w:w="3118" w:type="dxa"/>
            <w:gridSpan w:val="3"/>
            <w:shd w:val="clear" w:color="auto" w:fill="auto"/>
            <w:vAlign w:val="center"/>
          </w:tcPr>
          <w:p w:rsidR="0079054D" w:rsidRPr="009C5E28" w:rsidRDefault="0079054D" w:rsidP="00E201E7">
            <w:pPr>
              <w:pStyle w:val="Beschriftung"/>
              <w:spacing w:after="0"/>
              <w:jc w:val="center"/>
              <w:rPr>
                <w:sz w:val="20"/>
              </w:rPr>
            </w:pPr>
            <w:r w:rsidRPr="0097132F">
              <w:rPr>
                <w:sz w:val="20"/>
              </w:rPr>
              <w:t>P: 210-​273-​304+340-​305+351+338-​309-​310-​403+233</w:t>
            </w:r>
          </w:p>
        </w:tc>
      </w:tr>
      <w:tr w:rsidR="0079054D" w:rsidRPr="009C5E28" w:rsidTr="00E201E7">
        <w:trPr>
          <w:trHeight w:val="434"/>
        </w:trPr>
        <w:tc>
          <w:tcPr>
            <w:tcW w:w="3027" w:type="dxa"/>
            <w:gridSpan w:val="3"/>
            <w:shd w:val="clear" w:color="auto" w:fill="auto"/>
            <w:vAlign w:val="center"/>
          </w:tcPr>
          <w:p w:rsidR="0079054D" w:rsidRDefault="0079054D" w:rsidP="00E201E7">
            <w:pPr>
              <w:spacing w:after="0" w:line="276" w:lineRule="auto"/>
              <w:jc w:val="center"/>
              <w:rPr>
                <w:color w:val="auto"/>
                <w:sz w:val="20"/>
                <w:szCs w:val="20"/>
              </w:rPr>
            </w:pPr>
            <w:r>
              <w:rPr>
                <w:color w:val="auto"/>
                <w:sz w:val="20"/>
                <w:szCs w:val="20"/>
              </w:rPr>
              <w:t>Ethen</w:t>
            </w:r>
          </w:p>
        </w:tc>
        <w:tc>
          <w:tcPr>
            <w:tcW w:w="3177" w:type="dxa"/>
            <w:gridSpan w:val="3"/>
            <w:shd w:val="clear" w:color="auto" w:fill="auto"/>
            <w:vAlign w:val="center"/>
          </w:tcPr>
          <w:p w:rsidR="0079054D" w:rsidRPr="009F040F" w:rsidRDefault="0079054D" w:rsidP="00E201E7">
            <w:pPr>
              <w:pStyle w:val="Beschriftung"/>
              <w:spacing w:after="0"/>
              <w:jc w:val="center"/>
              <w:rPr>
                <w:sz w:val="20"/>
              </w:rPr>
            </w:pPr>
            <w:r w:rsidRPr="0049149F">
              <w:rPr>
                <w:sz w:val="20"/>
              </w:rPr>
              <w:t>H: 220-336</w:t>
            </w:r>
          </w:p>
        </w:tc>
        <w:tc>
          <w:tcPr>
            <w:tcW w:w="3118" w:type="dxa"/>
            <w:gridSpan w:val="3"/>
            <w:shd w:val="clear" w:color="auto" w:fill="auto"/>
            <w:vAlign w:val="center"/>
          </w:tcPr>
          <w:p w:rsidR="0079054D" w:rsidRPr="009F040F" w:rsidRDefault="0079054D" w:rsidP="00E201E7">
            <w:pPr>
              <w:pStyle w:val="Beschriftung"/>
              <w:spacing w:after="0"/>
              <w:jc w:val="center"/>
              <w:rPr>
                <w:sz w:val="20"/>
              </w:rPr>
            </w:pPr>
            <w:r w:rsidRPr="0049149F">
              <w:rPr>
                <w:sz w:val="20"/>
              </w:rPr>
              <w:t>P: 210-​260-​304+340-​315-​377-​381-​405-​403</w:t>
            </w:r>
          </w:p>
        </w:tc>
      </w:tr>
      <w:tr w:rsidR="0079054D" w:rsidRPr="009C5E28" w:rsidTr="00E201E7">
        <w:tc>
          <w:tcPr>
            <w:tcW w:w="1009" w:type="dxa"/>
            <w:shd w:val="clear" w:color="auto" w:fill="auto"/>
            <w:vAlign w:val="center"/>
          </w:tcPr>
          <w:p w:rsidR="0079054D" w:rsidRPr="009C5E28" w:rsidRDefault="0079054D" w:rsidP="00E201E7">
            <w:pPr>
              <w:spacing w:after="0"/>
              <w:jc w:val="center"/>
              <w:rPr>
                <w:b/>
                <w:bCs/>
              </w:rPr>
            </w:pPr>
            <w:r>
              <w:rPr>
                <w:b/>
                <w:noProof/>
                <w:lang w:eastAsia="de-DE"/>
              </w:rPr>
              <w:drawing>
                <wp:inline distT="0" distB="0" distL="0" distR="0">
                  <wp:extent cx="504190" cy="504190"/>
                  <wp:effectExtent l="19050" t="0" r="0" b="0"/>
                  <wp:docPr id="9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79054D" w:rsidRPr="009C5E28" w:rsidRDefault="0079054D" w:rsidP="00E201E7">
            <w:pPr>
              <w:spacing w:after="0"/>
              <w:jc w:val="center"/>
            </w:pPr>
            <w:r>
              <w:rPr>
                <w:noProof/>
                <w:lang w:eastAsia="de-DE"/>
              </w:rPr>
              <w:drawing>
                <wp:inline distT="0" distB="0" distL="0" distR="0">
                  <wp:extent cx="504190" cy="504190"/>
                  <wp:effectExtent l="19050" t="0" r="0" b="0"/>
                  <wp:docPr id="9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79054D" w:rsidRPr="009C5E28" w:rsidRDefault="0079054D" w:rsidP="00E201E7">
            <w:pPr>
              <w:spacing w:after="0"/>
              <w:jc w:val="center"/>
            </w:pPr>
            <w:r>
              <w:rPr>
                <w:noProof/>
                <w:lang w:eastAsia="de-DE"/>
              </w:rPr>
              <w:drawing>
                <wp:inline distT="0" distB="0" distL="0" distR="0">
                  <wp:extent cx="504190" cy="504190"/>
                  <wp:effectExtent l="19050" t="0" r="0" b="0"/>
                  <wp:docPr id="9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79054D" w:rsidRPr="009C5E28" w:rsidRDefault="0079054D" w:rsidP="00E201E7">
            <w:pPr>
              <w:spacing w:after="0"/>
              <w:jc w:val="center"/>
            </w:pPr>
            <w:r>
              <w:rPr>
                <w:noProof/>
                <w:lang w:eastAsia="de-DE"/>
              </w:rPr>
              <w:drawing>
                <wp:inline distT="0" distB="0" distL="0" distR="0">
                  <wp:extent cx="504190" cy="504190"/>
                  <wp:effectExtent l="0" t="0" r="0" b="0"/>
                  <wp:docPr id="9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79054D" w:rsidRPr="009C5E28" w:rsidRDefault="0079054D" w:rsidP="00E201E7">
            <w:pPr>
              <w:spacing w:after="0"/>
              <w:jc w:val="center"/>
            </w:pPr>
            <w:r>
              <w:rPr>
                <w:noProof/>
                <w:lang w:eastAsia="de-DE"/>
              </w:rPr>
              <w:drawing>
                <wp:inline distT="0" distB="0" distL="0" distR="0">
                  <wp:extent cx="504190" cy="504190"/>
                  <wp:effectExtent l="0" t="0" r="0" b="0"/>
                  <wp:docPr id="98"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79054D" w:rsidRPr="009C5E28" w:rsidRDefault="0079054D" w:rsidP="00E201E7">
            <w:pPr>
              <w:spacing w:after="0"/>
              <w:jc w:val="center"/>
            </w:pPr>
            <w:r>
              <w:rPr>
                <w:noProof/>
                <w:lang w:eastAsia="de-DE"/>
              </w:rPr>
              <w:drawing>
                <wp:inline distT="0" distB="0" distL="0" distR="0">
                  <wp:extent cx="504190" cy="504190"/>
                  <wp:effectExtent l="0" t="0" r="0" b="0"/>
                  <wp:docPr id="9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79054D" w:rsidRPr="009C5E28" w:rsidRDefault="0079054D" w:rsidP="00E201E7">
            <w:pPr>
              <w:spacing w:after="0"/>
              <w:jc w:val="center"/>
            </w:pPr>
            <w:r>
              <w:rPr>
                <w:noProof/>
                <w:lang w:eastAsia="de-DE"/>
              </w:rPr>
              <w:drawing>
                <wp:inline distT="0" distB="0" distL="0" distR="0">
                  <wp:extent cx="504190" cy="504190"/>
                  <wp:effectExtent l="19050" t="0" r="0" b="0"/>
                  <wp:docPr id="10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79054D" w:rsidRPr="009C5E28" w:rsidRDefault="0079054D" w:rsidP="00E201E7">
            <w:pPr>
              <w:spacing w:after="0"/>
              <w:jc w:val="center"/>
            </w:pPr>
            <w:r>
              <w:rPr>
                <w:noProof/>
                <w:lang w:eastAsia="de-DE"/>
              </w:rPr>
              <w:drawing>
                <wp:inline distT="0" distB="0" distL="0" distR="0">
                  <wp:extent cx="511175" cy="511175"/>
                  <wp:effectExtent l="19050" t="0" r="3175" b="0"/>
                  <wp:docPr id="10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a:stretch>
                            <a:fillRect/>
                          </a:stretch>
                        </pic:blipFill>
                        <pic:spPr bwMode="auto">
                          <a:xfrm>
                            <a:off x="0" y="0"/>
                            <a:ext cx="511175" cy="511175"/>
                          </a:xfrm>
                          <a:prstGeom prst="rect">
                            <a:avLst/>
                          </a:prstGeom>
                          <a:noFill/>
                          <a:ln>
                            <a:noFill/>
                          </a:ln>
                        </pic:spPr>
                      </pic:pic>
                    </a:graphicData>
                  </a:graphic>
                </wp:inline>
              </w:drawing>
            </w:r>
          </w:p>
        </w:tc>
        <w:tc>
          <w:tcPr>
            <w:tcW w:w="1134" w:type="dxa"/>
            <w:shd w:val="clear" w:color="auto" w:fill="auto"/>
            <w:vAlign w:val="center"/>
          </w:tcPr>
          <w:p w:rsidR="0079054D" w:rsidRPr="009C5E28" w:rsidRDefault="0079054D" w:rsidP="00E201E7">
            <w:pPr>
              <w:spacing w:after="0"/>
              <w:jc w:val="center"/>
            </w:pPr>
            <w:r>
              <w:rPr>
                <w:noProof/>
                <w:lang w:eastAsia="de-DE"/>
              </w:rPr>
              <w:drawing>
                <wp:inline distT="0" distB="0" distL="0" distR="0">
                  <wp:extent cx="504190" cy="504190"/>
                  <wp:effectExtent l="19050" t="0" r="0" b="0"/>
                  <wp:docPr id="10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stretch>
                            <a:fillRect/>
                          </a:stretch>
                        </pic:blipFill>
                        <pic:spPr bwMode="auto">
                          <a:xfrm>
                            <a:off x="0" y="0"/>
                            <a:ext cx="504190" cy="504190"/>
                          </a:xfrm>
                          <a:prstGeom prst="rect">
                            <a:avLst/>
                          </a:prstGeom>
                          <a:noFill/>
                          <a:ln>
                            <a:noFill/>
                          </a:ln>
                        </pic:spPr>
                      </pic:pic>
                    </a:graphicData>
                  </a:graphic>
                </wp:inline>
              </w:drawing>
            </w:r>
          </w:p>
        </w:tc>
      </w:tr>
    </w:tbl>
    <w:p w:rsidR="0079054D" w:rsidRPr="00A556E3" w:rsidRDefault="0079054D" w:rsidP="0079054D"/>
    <w:p w:rsidR="0079054D" w:rsidRDefault="0079054D" w:rsidP="0079054D">
      <w:r>
        <w:t>Materialien:</w:t>
      </w:r>
      <w:r>
        <w:tab/>
      </w:r>
      <w:r>
        <w:tab/>
        <w:t>Reagenzgläser, Pipette, Stopfen, Standzylinder</w:t>
      </w:r>
    </w:p>
    <w:p w:rsidR="0079054D" w:rsidRDefault="0079054D" w:rsidP="0079054D">
      <w:r>
        <w:t>Chemikalien:</w:t>
      </w:r>
      <w:r>
        <w:tab/>
      </w:r>
      <w:r>
        <w:tab/>
        <w:t>BAYERs Reagenz, Bromwasser, Ethen</w:t>
      </w:r>
    </w:p>
    <w:p w:rsidR="0079054D" w:rsidRDefault="0079054D" w:rsidP="0079054D">
      <w:pPr>
        <w:ind w:left="2124" w:hanging="2124"/>
      </w:pPr>
      <w:r>
        <w:t xml:space="preserve">Durchführung: </w:t>
      </w:r>
      <w:r>
        <w:tab/>
        <w:t>1. In ein Reagenzglas mit Ethen werden 3 mL BAYER Reagenz gegeben. Das Reagenzglas wird wieder mit dem Stopfen verschlossen und geschü</w:t>
      </w:r>
      <w:r>
        <w:t>t</w:t>
      </w:r>
      <w:r>
        <w:t>telt.</w:t>
      </w:r>
      <w:r>
        <w:br/>
        <w:t xml:space="preserve">2. </w:t>
      </w:r>
      <w:r w:rsidRPr="001562A4">
        <w:t xml:space="preserve">In ein Reagenzglas mit Ethen werden 3 mL </w:t>
      </w:r>
      <w:r>
        <w:t>Bromwasser</w:t>
      </w:r>
      <w:r w:rsidRPr="001562A4">
        <w:t xml:space="preserve"> gegeben. Das Reagenzglas wird wieder mit dem Stopfen verschlossen und geschüttelt.</w:t>
      </w:r>
      <w:r>
        <w:br/>
        <w:t>3. An einen mit Ethen gefüllten Standzylinder wird ein brennender Glimmspan gehalten.</w:t>
      </w:r>
    </w:p>
    <w:p w:rsidR="0079054D" w:rsidRDefault="0079054D" w:rsidP="0079054D">
      <w:r>
        <w:t>Beobachtungen:</w:t>
      </w:r>
      <w:r>
        <w:tab/>
        <w:t>1. Die Lösung färbt sich braun und ein brauner Feststoff fällt aus.</w:t>
      </w:r>
    </w:p>
    <w:p w:rsidR="0079054D" w:rsidRDefault="0079054D" w:rsidP="0079054D">
      <w:pPr>
        <w:ind w:left="1416" w:firstLine="708"/>
      </w:pPr>
      <w:r>
        <w:t>2. Das Bromwasser entfärbt sich.</w:t>
      </w:r>
    </w:p>
    <w:p w:rsidR="0079054D" w:rsidRDefault="0079054D" w:rsidP="0079054D">
      <w:pPr>
        <w:ind w:left="1416" w:firstLine="708"/>
      </w:pPr>
      <w:r>
        <w:t>3. Das Ethen entzündet sich und verbrennt langsam ohne zu rußen.</w:t>
      </w:r>
    </w:p>
    <w:p w:rsidR="0079054D" w:rsidRDefault="0079054D" w:rsidP="0079054D">
      <w:pPr>
        <w:ind w:left="2124" w:hanging="2124"/>
      </w:pPr>
      <w:r>
        <w:t>Deutung:</w:t>
      </w:r>
      <w:r>
        <w:tab/>
        <w:t>1. Permangant-Ionen oxidieren das Ethen zu Ethylenglykol, dabei entsteht ein dunkler brauner Niederschlag von Mangan(IV)-oxidihydrat.</w:t>
      </w:r>
    </w:p>
    <w:p w:rsidR="0079054D" w:rsidRDefault="0079054D" w:rsidP="0079054D">
      <m:oMathPara>
        <m:oMath>
          <m:r>
            <w:rPr>
              <w:rFonts w:ascii="Cambria Math" w:hAnsi="Cambria Math"/>
            </w:rPr>
            <m:t>3C</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2(g)</m:t>
              </m:r>
            </m:sub>
          </m:sSub>
          <m:r>
            <w:rPr>
              <w:rFonts w:ascii="Cambria Math" w:hAnsi="Cambria Math"/>
            </w:rPr>
            <m:t>+2Mn</m:t>
          </m:r>
          <m:sSubSup>
            <m:sSubSupPr>
              <m:ctrlPr>
                <w:rPr>
                  <w:rFonts w:ascii="Cambria Math" w:hAnsi="Cambria Math"/>
                  <w:i/>
                </w:rPr>
              </m:ctrlPr>
            </m:sSubSupPr>
            <m:e>
              <m:r>
                <w:rPr>
                  <w:rFonts w:ascii="Cambria Math" w:hAnsi="Cambria Math"/>
                </w:rPr>
                <m:t>O</m:t>
              </m:r>
            </m:e>
            <m:sub>
              <m:r>
                <w:rPr>
                  <w:rFonts w:ascii="Cambria Math" w:hAnsi="Cambria Math"/>
                </w:rPr>
                <m:t>4(aq)</m:t>
              </m:r>
            </m:sub>
            <m:sup>
              <m:r>
                <w:rPr>
                  <w:rFonts w:ascii="Cambria Math" w:hAnsi="Cambria Math"/>
                </w:rPr>
                <m:t>-</m:t>
              </m:r>
            </m:sup>
          </m:sSubSup>
          <m:r>
            <w:rPr>
              <w:rFonts w:ascii="Cambria Math" w:hAnsi="Cambria Math"/>
            </w:rPr>
            <m:t>+6</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d>
                <m:dPr>
                  <m:ctrlPr>
                    <w:rPr>
                      <w:rFonts w:ascii="Cambria Math" w:hAnsi="Cambria Math"/>
                      <w:i/>
                    </w:rPr>
                  </m:ctrlPr>
                </m:dPr>
                <m:e>
                  <m:r>
                    <w:rPr>
                      <w:rFonts w:ascii="Cambria Math" w:hAnsi="Cambria Math"/>
                    </w:rPr>
                    <m:t>l</m:t>
                  </m:r>
                </m:e>
              </m:d>
            </m:sub>
          </m:sSub>
          <m:r>
            <w:rPr>
              <w:rFonts w:ascii="Cambria Math" w:hAnsi="Cambria Math"/>
            </w:rPr>
            <m:t>→3HO-C</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Sub>
            <m:sSubPr>
              <m:ctrlPr>
                <w:rPr>
                  <w:rFonts w:ascii="Cambria Math" w:hAnsi="Cambria Math"/>
                  <w:i/>
                </w:rPr>
              </m:ctrlPr>
            </m:sSubPr>
            <m:e>
              <m:r>
                <w:rPr>
                  <w:rFonts w:ascii="Cambria Math" w:hAnsi="Cambria Math"/>
                </w:rPr>
                <m:t>H</m:t>
              </m:r>
            </m:e>
            <m:sub>
              <m:d>
                <m:dPr>
                  <m:ctrlPr>
                    <w:rPr>
                      <w:rFonts w:ascii="Cambria Math" w:hAnsi="Cambria Math"/>
                      <w:i/>
                    </w:rPr>
                  </m:ctrlPr>
                </m:dPr>
                <m:e>
                  <m:r>
                    <w:rPr>
                      <w:rFonts w:ascii="Cambria Math" w:hAnsi="Cambria Math"/>
                    </w:rPr>
                    <m:t>aq</m:t>
                  </m:r>
                </m:e>
              </m:d>
            </m:sub>
          </m:sSub>
          <m:r>
            <w:rPr>
              <w:rFonts w:ascii="Cambria Math" w:hAnsi="Cambria Math"/>
            </w:rPr>
            <m:t>+2MnO</m:t>
          </m:r>
          <m:sSub>
            <m:sSubPr>
              <m:ctrlPr>
                <w:rPr>
                  <w:rFonts w:ascii="Cambria Math" w:hAnsi="Cambria Math"/>
                  <w:i/>
                </w:rPr>
              </m:ctrlPr>
            </m:sSubPr>
            <m:e>
              <m:d>
                <m:dPr>
                  <m:ctrlPr>
                    <w:rPr>
                      <w:rFonts w:ascii="Cambria Math" w:hAnsi="Cambria Math"/>
                      <w:i/>
                    </w:rPr>
                  </m:ctrlPr>
                </m:dPr>
                <m:e>
                  <m:r>
                    <w:rPr>
                      <w:rFonts w:ascii="Cambria Math" w:hAnsi="Cambria Math"/>
                    </w:rPr>
                    <m:t>OH</m:t>
                  </m:r>
                </m:e>
              </m:d>
            </m:e>
            <m:sub>
              <m:r>
                <w:rPr>
                  <w:rFonts w:ascii="Cambria Math" w:hAnsi="Cambria Math"/>
                </w:rPr>
                <m:t>2(s)</m:t>
              </m:r>
            </m:sub>
          </m:sSub>
          <m:r>
            <w:rPr>
              <w:rFonts w:ascii="Cambria Math" w:hAnsi="Cambria Math"/>
            </w:rPr>
            <m:t>+2O</m:t>
          </m:r>
          <m:sSubSup>
            <m:sSubSupPr>
              <m:ctrlPr>
                <w:rPr>
                  <w:rFonts w:ascii="Cambria Math" w:hAnsi="Cambria Math"/>
                  <w:i/>
                </w:rPr>
              </m:ctrlPr>
            </m:sSubSupPr>
            <m:e>
              <m:r>
                <w:rPr>
                  <w:rFonts w:ascii="Cambria Math" w:hAnsi="Cambria Math"/>
                </w:rPr>
                <m:t>H</m:t>
              </m:r>
            </m:e>
            <m:sub>
              <m:d>
                <m:dPr>
                  <m:ctrlPr>
                    <w:rPr>
                      <w:rFonts w:ascii="Cambria Math" w:hAnsi="Cambria Math"/>
                      <w:i/>
                    </w:rPr>
                  </m:ctrlPr>
                </m:dPr>
                <m:e>
                  <m:r>
                    <w:rPr>
                      <w:rFonts w:ascii="Cambria Math" w:hAnsi="Cambria Math"/>
                    </w:rPr>
                    <m:t>aq</m:t>
                  </m:r>
                </m:e>
              </m:d>
            </m:sub>
            <m:sup>
              <m:r>
                <w:rPr>
                  <w:rFonts w:ascii="Cambria Math" w:hAnsi="Cambria Math"/>
                </w:rPr>
                <m:t>-</m:t>
              </m:r>
            </m:sup>
          </m:sSubSup>
        </m:oMath>
      </m:oMathPara>
    </w:p>
    <w:p w:rsidR="0079054D" w:rsidRDefault="0079054D" w:rsidP="0079054D">
      <w:pPr>
        <w:ind w:left="1416" w:firstLine="708"/>
      </w:pPr>
      <w:r>
        <w:t>2. Das Brom wird in einer elektrophilen Addition an das Ethen addiert.</w:t>
      </w:r>
    </w:p>
    <w:p w:rsidR="0079054D" w:rsidRPr="00025C8A" w:rsidRDefault="0079054D" w:rsidP="0079054D">
      <w:pPr>
        <w:rPr>
          <w:rFonts w:eastAsiaTheme="minorEastAsia"/>
        </w:rPr>
      </w:pPr>
      <m:oMathPara>
        <m:oMath>
          <m:r>
            <w:rPr>
              <w:rFonts w:ascii="Cambria Math" w:hAnsi="Cambria Math"/>
            </w:rPr>
            <w:lastRenderedPageBreak/>
            <m:t>Br-B</m:t>
          </m:r>
          <m:sSub>
            <m:sSubPr>
              <m:ctrlPr>
                <w:rPr>
                  <w:rFonts w:ascii="Cambria Math" w:hAnsi="Cambria Math"/>
                  <w:i/>
                </w:rPr>
              </m:ctrlPr>
            </m:sSubPr>
            <m:e>
              <m:r>
                <w:rPr>
                  <w:rFonts w:ascii="Cambria Math" w:hAnsi="Cambria Math"/>
                </w:rPr>
                <m:t>r</m:t>
              </m:r>
            </m:e>
            <m:sub>
              <m:d>
                <m:dPr>
                  <m:ctrlPr>
                    <w:rPr>
                      <w:rFonts w:ascii="Cambria Math" w:hAnsi="Cambria Math"/>
                      <w:i/>
                    </w:rPr>
                  </m:ctrlPr>
                </m:dPr>
                <m:e>
                  <m:r>
                    <w:rPr>
                      <w:rFonts w:ascii="Cambria Math" w:hAnsi="Cambria Math"/>
                    </w:rPr>
                    <m:t>aq</m:t>
                  </m:r>
                </m:e>
              </m:d>
            </m:sub>
          </m:sSub>
          <m:r>
            <w:rPr>
              <w:rFonts w:ascii="Cambria Math" w:hAnsi="Cambria Math"/>
            </w:rPr>
            <m:t>→</m:t>
          </m:r>
          <m:f>
            <m:fPr>
              <m:type m:val="noBar"/>
              <m:ctrlPr>
                <w:rPr>
                  <w:rFonts w:ascii="Cambria Math" w:hAnsi="Cambria Math"/>
                  <w:i/>
                </w:rPr>
              </m:ctrlPr>
            </m:fPr>
            <m:num>
              <m:r>
                <w:rPr>
                  <w:rFonts w:ascii="Cambria Math" w:hAnsi="Cambria Math"/>
                </w:rPr>
                <m:t>+       -</m:t>
              </m:r>
            </m:num>
            <m:den>
              <m:r>
                <w:rPr>
                  <w:rFonts w:ascii="Cambria Math" w:hAnsi="Cambria Math"/>
                </w:rPr>
                <m:t>Br-B</m:t>
              </m:r>
              <m:sSub>
                <m:sSubPr>
                  <m:ctrlPr>
                    <w:rPr>
                      <w:rFonts w:ascii="Cambria Math" w:hAnsi="Cambria Math"/>
                      <w:i/>
                    </w:rPr>
                  </m:ctrlPr>
                </m:sSubPr>
                <m:e>
                  <m:r>
                    <w:rPr>
                      <w:rFonts w:ascii="Cambria Math" w:hAnsi="Cambria Math"/>
                    </w:rPr>
                    <m:t>r</m:t>
                  </m:r>
                </m:e>
                <m:sub>
                  <m:d>
                    <m:dPr>
                      <m:ctrlPr>
                        <w:rPr>
                          <w:rFonts w:ascii="Cambria Math" w:hAnsi="Cambria Math"/>
                          <w:i/>
                        </w:rPr>
                      </m:ctrlPr>
                    </m:dPr>
                    <m:e>
                      <m:r>
                        <w:rPr>
                          <w:rFonts w:ascii="Cambria Math" w:hAnsi="Cambria Math"/>
                        </w:rPr>
                        <m:t>aq</m:t>
                      </m:r>
                    </m:e>
                  </m:d>
                </m:sub>
              </m:sSub>
            </m:den>
          </m:f>
        </m:oMath>
      </m:oMathPara>
    </w:p>
    <w:p w:rsidR="0079054D" w:rsidRDefault="0079054D" w:rsidP="0079054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C=C</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2(g)</m:t>
              </m:r>
            </m:sub>
          </m:sSub>
          <m:r>
            <w:rPr>
              <w:rFonts w:ascii="Cambria Math" w:eastAsiaTheme="minorEastAsia" w:hAnsi="Cambria Math"/>
            </w:rPr>
            <m:t>+</m:t>
          </m:r>
          <m:f>
            <m:fPr>
              <m:type m:val="noBar"/>
              <m:ctrlPr>
                <w:rPr>
                  <w:rFonts w:ascii="Cambria Math" w:eastAsiaTheme="minorEastAsia" w:hAnsi="Cambria Math"/>
                  <w:i/>
                </w:rPr>
              </m:ctrlPr>
            </m:fPr>
            <m:num>
              <m:r>
                <w:rPr>
                  <w:rFonts w:ascii="Cambria Math" w:eastAsiaTheme="minorEastAsia" w:hAnsi="Cambria Math"/>
                </w:rPr>
                <m:t>+       -</m:t>
              </m:r>
            </m:num>
            <m:den>
              <m:r>
                <w:rPr>
                  <w:rFonts w:ascii="Cambria Math" w:eastAsiaTheme="minorEastAsia" w:hAnsi="Cambria Math"/>
                </w:rPr>
                <m:t>Br-B</m:t>
              </m:r>
              <m:sSub>
                <m:sSubPr>
                  <m:ctrlPr>
                    <w:rPr>
                      <w:rFonts w:ascii="Cambria Math" w:eastAsiaTheme="minorEastAsia" w:hAnsi="Cambria Math"/>
                      <w:i/>
                    </w:rPr>
                  </m:ctrlPr>
                </m:sSubPr>
                <m:e>
                  <m:r>
                    <w:rPr>
                      <w:rFonts w:ascii="Cambria Math" w:eastAsiaTheme="minorEastAsia" w:hAnsi="Cambria Math"/>
                    </w:rPr>
                    <m:t>r</m:t>
                  </m:r>
                </m:e>
                <m:sub>
                  <m:d>
                    <m:dPr>
                      <m:ctrlPr>
                        <w:rPr>
                          <w:rFonts w:ascii="Cambria Math" w:eastAsiaTheme="minorEastAsia" w:hAnsi="Cambria Math"/>
                          <w:i/>
                        </w:rPr>
                      </m:ctrlPr>
                    </m:dPr>
                    <m:e>
                      <m:r>
                        <w:rPr>
                          <w:rFonts w:ascii="Cambria Math" w:eastAsiaTheme="minorEastAsia" w:hAnsi="Cambria Math"/>
                        </w:rPr>
                        <m:t>aq</m:t>
                      </m:r>
                    </m:e>
                  </m:d>
                </m:sub>
              </m:sSub>
            </m:den>
          </m:f>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BrC-C</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e>
                  </m:d>
                </m:e>
                <m:sub>
                  <m:d>
                    <m:dPr>
                      <m:ctrlPr>
                        <w:rPr>
                          <w:rFonts w:ascii="Cambria Math" w:eastAsiaTheme="minorEastAsia" w:hAnsi="Cambria Math"/>
                          <w:i/>
                        </w:rPr>
                      </m:ctrlPr>
                    </m:dPr>
                    <m:e>
                      <m:r>
                        <w:rPr>
                          <w:rFonts w:ascii="Cambria Math" w:eastAsiaTheme="minorEastAsia" w:hAnsi="Cambria Math"/>
                        </w:rPr>
                        <m:t>aq</m:t>
                      </m:r>
                    </m:e>
                  </m:d>
                </m:sub>
              </m:sSub>
            </m:e>
            <m:sup>
              <m:r>
                <w:rPr>
                  <w:rFonts w:ascii="Cambria Math" w:eastAsiaTheme="minorEastAsia" w:hAnsi="Cambria Math"/>
                </w:rPr>
                <m:t>+</m:t>
              </m:r>
            </m:sup>
          </m:sSup>
          <m:r>
            <w:rPr>
              <w:rFonts w:ascii="Cambria Math" w:eastAsiaTheme="minorEastAsia" w:hAnsi="Cambria Math"/>
            </w:rPr>
            <m:t>+B</m:t>
          </m:r>
          <m:sSubSup>
            <m:sSubSupPr>
              <m:ctrlPr>
                <w:rPr>
                  <w:rFonts w:ascii="Cambria Math" w:eastAsiaTheme="minorEastAsia" w:hAnsi="Cambria Math"/>
                  <w:i/>
                </w:rPr>
              </m:ctrlPr>
            </m:sSubSupPr>
            <m:e>
              <m:r>
                <w:rPr>
                  <w:rFonts w:ascii="Cambria Math" w:eastAsiaTheme="minorEastAsia" w:hAnsi="Cambria Math"/>
                </w:rPr>
                <m:t>r</m:t>
              </m:r>
            </m:e>
            <m:sub>
              <m:d>
                <m:dPr>
                  <m:ctrlPr>
                    <w:rPr>
                      <w:rFonts w:ascii="Cambria Math" w:eastAsiaTheme="minorEastAsia" w:hAnsi="Cambria Math"/>
                      <w:i/>
                    </w:rPr>
                  </m:ctrlPr>
                </m:dPr>
                <m:e>
                  <m:r>
                    <w:rPr>
                      <w:rFonts w:ascii="Cambria Math" w:eastAsiaTheme="minorEastAsia" w:hAnsi="Cambria Math"/>
                    </w:rPr>
                    <m:t>aq</m:t>
                  </m:r>
                </m:e>
              </m:d>
            </m:sub>
            <m:sup>
              <m:r>
                <w:rPr>
                  <w:rFonts w:ascii="Cambria Math" w:eastAsiaTheme="minorEastAsia" w:hAnsi="Cambria Math"/>
                </w:rPr>
                <m:t>-</m:t>
              </m:r>
            </m:sup>
          </m:sSubSup>
        </m:oMath>
      </m:oMathPara>
    </w:p>
    <w:p w:rsidR="0079054D" w:rsidRPr="00025C8A" w:rsidRDefault="0079054D" w:rsidP="0079054D">
      <w:pPr>
        <w:rPr>
          <w:rFonts w:eastAsiaTheme="minorEastAsia"/>
        </w:rPr>
      </w:pPr>
      <m:oMathPara>
        <m:oMath>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BrC-C</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e>
              </m:d>
            </m:e>
            <m:sub>
              <m:d>
                <m:dPr>
                  <m:ctrlPr>
                    <w:rPr>
                      <w:rFonts w:ascii="Cambria Math" w:eastAsiaTheme="minorEastAsia" w:hAnsi="Cambria Math"/>
                      <w:i/>
                    </w:rPr>
                  </m:ctrlPr>
                </m:dPr>
                <m:e>
                  <m:r>
                    <w:rPr>
                      <w:rFonts w:ascii="Cambria Math" w:eastAsiaTheme="minorEastAsia" w:hAnsi="Cambria Math"/>
                    </w:rPr>
                    <m:t>aq</m:t>
                  </m:r>
                </m:e>
              </m:d>
            </m:sub>
            <m:sup>
              <m:r>
                <w:rPr>
                  <w:rFonts w:ascii="Cambria Math" w:eastAsiaTheme="minorEastAsia" w:hAnsi="Cambria Math"/>
                </w:rPr>
                <m:t>+</m:t>
              </m:r>
            </m:sup>
          </m:sSubSup>
          <m:r>
            <w:rPr>
              <w:rFonts w:ascii="Cambria Math" w:eastAsiaTheme="minorEastAsia" w:hAnsi="Cambria Math"/>
            </w:rPr>
            <m:t>+B</m:t>
          </m:r>
          <m:sSubSup>
            <m:sSubSupPr>
              <m:ctrlPr>
                <w:rPr>
                  <w:rFonts w:ascii="Cambria Math" w:eastAsiaTheme="minorEastAsia" w:hAnsi="Cambria Math"/>
                  <w:i/>
                </w:rPr>
              </m:ctrlPr>
            </m:sSubSupPr>
            <m:e>
              <m:r>
                <w:rPr>
                  <w:rFonts w:ascii="Cambria Math" w:eastAsiaTheme="minorEastAsia" w:hAnsi="Cambria Math"/>
                </w:rPr>
                <m:t>r</m:t>
              </m:r>
            </m:e>
            <m:sub>
              <m:d>
                <m:dPr>
                  <m:ctrlPr>
                    <w:rPr>
                      <w:rFonts w:ascii="Cambria Math" w:eastAsiaTheme="minorEastAsia" w:hAnsi="Cambria Math"/>
                      <w:i/>
                    </w:rPr>
                  </m:ctrlPr>
                </m:dPr>
                <m:e>
                  <m:r>
                    <w:rPr>
                      <w:rFonts w:ascii="Cambria Math" w:eastAsiaTheme="minorEastAsia" w:hAnsi="Cambria Math"/>
                    </w:rPr>
                    <m:t>aq</m:t>
                  </m:r>
                </m:e>
              </m:d>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r>
            <w:rPr>
              <w:rFonts w:ascii="Cambria Math" w:eastAsiaTheme="minorEastAsia" w:hAnsi="Cambria Math"/>
            </w:rPr>
            <m:t>Br</m:t>
          </m:r>
          <m:r>
            <w:rPr>
              <w:rFonts w:ascii="Cambria Math" w:eastAsiaTheme="minorEastAsia" w:hAnsi="Cambria Math"/>
            </w:rPr>
            <m:t>C-CBr</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e>
            <m:sub>
              <m:d>
                <m:dPr>
                  <m:ctrlPr>
                    <w:rPr>
                      <w:rFonts w:ascii="Cambria Math" w:eastAsiaTheme="minorEastAsia" w:hAnsi="Cambria Math"/>
                      <w:i/>
                    </w:rPr>
                  </m:ctrlPr>
                </m:dPr>
                <m:e>
                  <m:r>
                    <w:rPr>
                      <w:rFonts w:ascii="Cambria Math" w:eastAsiaTheme="minorEastAsia" w:hAnsi="Cambria Math"/>
                    </w:rPr>
                    <m:t>aq</m:t>
                  </m:r>
                </m:e>
              </m:d>
            </m:sub>
          </m:sSub>
        </m:oMath>
      </m:oMathPara>
    </w:p>
    <w:p w:rsidR="0079054D" w:rsidRDefault="0079054D" w:rsidP="0079054D">
      <w:pPr>
        <w:ind w:left="1416" w:firstLine="708"/>
      </w:pPr>
      <w:r>
        <w:t>3. Das Ethen wird vom umgebenden Luftsauerstoff oxidiert.</w:t>
      </w:r>
    </w:p>
    <w:p w:rsidR="0079054D" w:rsidRPr="00FE1557" w:rsidRDefault="0079054D" w:rsidP="0079054D">
      <w:pPr>
        <w:jc w:val="center"/>
        <w:rPr>
          <w:rFonts w:eastAsiaTheme="minorEastAsia"/>
          <w:noProof/>
        </w:rPr>
      </w:pPr>
      <w:r>
        <w:rPr>
          <w:noProof/>
          <w:lang w:eastAsia="de-DE"/>
        </w:rPr>
        <w:drawing>
          <wp:anchor distT="0" distB="0" distL="114300" distR="114300" simplePos="0" relativeHeight="251663360" behindDoc="0" locked="0" layoutInCell="1" allowOverlap="1">
            <wp:simplePos x="0" y="0"/>
            <wp:positionH relativeFrom="column">
              <wp:posOffset>3018155</wp:posOffset>
            </wp:positionH>
            <wp:positionV relativeFrom="paragraph">
              <wp:posOffset>530860</wp:posOffset>
            </wp:positionV>
            <wp:extent cx="2720340" cy="1535430"/>
            <wp:effectExtent l="19050" t="0" r="3810" b="0"/>
            <wp:wrapSquare wrapText="bothSides"/>
            <wp:docPr id="103" name="Bild 10" descr="C:\Users\Till\Desktop\2013-08-07 12.5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ill\Desktop\2013-08-07 12.54.21.jpg"/>
                    <pic:cNvPicPr>
                      <a:picLocks noChangeAspect="1" noChangeArrowheads="1"/>
                    </pic:cNvPicPr>
                  </pic:nvPicPr>
                  <pic:blipFill>
                    <a:blip r:embed="rId17" cstate="print"/>
                    <a:srcRect/>
                    <a:stretch>
                      <a:fillRect/>
                    </a:stretch>
                  </pic:blipFill>
                  <pic:spPr bwMode="auto">
                    <a:xfrm>
                      <a:off x="0" y="0"/>
                      <a:ext cx="2720340" cy="153543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2336" behindDoc="0" locked="0" layoutInCell="1" allowOverlap="1">
            <wp:simplePos x="0" y="0"/>
            <wp:positionH relativeFrom="column">
              <wp:posOffset>15875</wp:posOffset>
            </wp:positionH>
            <wp:positionV relativeFrom="paragraph">
              <wp:posOffset>530860</wp:posOffset>
            </wp:positionV>
            <wp:extent cx="2717165" cy="1535430"/>
            <wp:effectExtent l="19050" t="0" r="6985" b="0"/>
            <wp:wrapSquare wrapText="bothSides"/>
            <wp:docPr id="104" name="Bild 9" descr="C:\Users\Till\Desktop\2013-08-07 11.0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ill\Desktop\2013-08-07 11.07.15.jpg"/>
                    <pic:cNvPicPr>
                      <a:picLocks noChangeAspect="1" noChangeArrowheads="1"/>
                    </pic:cNvPicPr>
                  </pic:nvPicPr>
                  <pic:blipFill>
                    <a:blip r:embed="rId18" cstate="print"/>
                    <a:srcRect/>
                    <a:stretch>
                      <a:fillRect/>
                    </a:stretch>
                  </pic:blipFill>
                  <pic:spPr bwMode="auto">
                    <a:xfrm>
                      <a:off x="0" y="0"/>
                      <a:ext cx="2717165" cy="1535430"/>
                    </a:xfrm>
                    <a:prstGeom prst="rect">
                      <a:avLst/>
                    </a:prstGeom>
                    <a:noFill/>
                    <a:ln w="9525">
                      <a:noFill/>
                      <a:miter lim="800000"/>
                      <a:headEnd/>
                      <a:tailEnd/>
                    </a:ln>
                  </pic:spPr>
                </pic:pic>
              </a:graphicData>
            </a:graphic>
          </wp:anchor>
        </w:drawing>
      </w:r>
      <m:oMath>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4(g)</m:t>
            </m:r>
          </m:sub>
        </m:sSub>
        <m:r>
          <w:rPr>
            <w:rFonts w:ascii="Cambria Math" w:hAnsi="Cambria Math"/>
          </w:rPr>
          <m:t>+</m:t>
        </m:r>
        <m:sSub>
          <m:sSubPr>
            <m:ctrlPr>
              <w:rPr>
                <w:rFonts w:ascii="Cambria Math" w:hAnsi="Cambria Math"/>
                <w:i/>
              </w:rPr>
            </m:ctrlPr>
          </m:sSubPr>
          <m:e>
            <m:r>
              <w:rPr>
                <w:rFonts w:ascii="Cambria Math" w:hAnsi="Cambria Math"/>
              </w:rPr>
              <m:t>3O</m:t>
            </m:r>
          </m:e>
          <m:sub>
            <m:r>
              <w:rPr>
                <w:rFonts w:ascii="Cambria Math" w:hAnsi="Cambria Math"/>
              </w:rPr>
              <m:t>2(g)</m:t>
            </m:r>
          </m:sub>
        </m:sSub>
        <m:r>
          <w:rPr>
            <w:rFonts w:ascii="Cambria Math" w:hAnsi="Cambria Math"/>
          </w:rPr>
          <m:t>→</m:t>
        </m:r>
        <m:r>
          <w:rPr>
            <w:rFonts w:ascii="Cambria Math" w:eastAsiaTheme="minorEastAsia" w:hAnsi="Cambria Math"/>
          </w:rPr>
          <m:t>2C</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2(g)</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d>
              <m:dPr>
                <m:ctrlPr>
                  <w:rPr>
                    <w:rFonts w:ascii="Cambria Math" w:eastAsiaTheme="minorEastAsia" w:hAnsi="Cambria Math"/>
                    <w:i/>
                  </w:rPr>
                </m:ctrlPr>
              </m:dPr>
              <m:e>
                <m:r>
                  <w:rPr>
                    <w:rFonts w:ascii="Cambria Math" w:eastAsiaTheme="minorEastAsia" w:hAnsi="Cambria Math"/>
                  </w:rPr>
                  <m:t>l</m:t>
                </m:r>
              </m:e>
            </m:d>
            <m:ctrlPr>
              <w:rPr>
                <w:rFonts w:ascii="Cambria Math" w:eastAsiaTheme="minorEastAsia" w:hAnsi="Cambria Math"/>
                <w:i/>
                <w:noProof/>
              </w:rPr>
            </m:ctrlPr>
          </m:sub>
        </m:sSub>
      </m:oMath>
    </w:p>
    <w:p w:rsidR="0079054D" w:rsidRDefault="0079054D" w:rsidP="0079054D">
      <w:pPr>
        <w:ind w:left="2124" w:hanging="2124"/>
      </w:pPr>
      <w:r>
        <w:rPr>
          <w:noProof/>
          <w:lang w:eastAsia="de-DE"/>
        </w:rPr>
        <w:pict>
          <v:shape id="_x0000_s1061" type="#_x0000_t202" style="position:absolute;left:0;text-align:left;margin-left:1.15pt;margin-top:135.25pt;width:456.35pt;height:40.1pt;z-index:251664384;mso-width-relative:margin;mso-height-relative:margin" strokecolor="white [3212]">
            <v:textbox>
              <w:txbxContent>
                <w:p w:rsidR="0079054D" w:rsidRDefault="0079054D" w:rsidP="0079054D">
                  <w:r>
                    <w:t>Abb4. – links: Bromwasser mit (l) und ohne (r) Ethen, rechts BAYERS Reagenz mit (r) und ohne (l) Ethen</w:t>
                  </w:r>
                </w:p>
              </w:txbxContent>
            </v:textbox>
          </v:shape>
        </w:pict>
      </w:r>
    </w:p>
    <w:p w:rsidR="0079054D" w:rsidRDefault="0079054D" w:rsidP="0079054D">
      <w:pPr>
        <w:ind w:left="2124" w:hanging="2124"/>
      </w:pPr>
    </w:p>
    <w:p w:rsidR="0079054D" w:rsidRDefault="0079054D" w:rsidP="0079054D">
      <w:pPr>
        <w:ind w:left="2124" w:hanging="2124"/>
      </w:pPr>
      <w:r>
        <w:t>Entsorgung:</w:t>
      </w:r>
      <w:r>
        <w:tab/>
        <w:t>zu1.: Den Niederschlag in den Sammelbehälter für anorganische Chemik</w:t>
      </w:r>
      <w:r>
        <w:t>a</w:t>
      </w:r>
      <w:r>
        <w:t>lienreste geben und die Lösung verdünnen und im Abwasser entsorgen.</w:t>
      </w:r>
    </w:p>
    <w:p w:rsidR="0079054D" w:rsidRDefault="0079054D" w:rsidP="0079054D">
      <w:pPr>
        <w:ind w:left="2124"/>
      </w:pPr>
      <w:r>
        <w:t>zu 2.: Die Lösung zweimal mit 0,5 mL Diethylether versetzen, schütteln und die etherische Lösung mit dem 1,2-Dibrommethan in der Sammelb</w:t>
      </w:r>
      <w:r>
        <w:t>e</w:t>
      </w:r>
      <w:r>
        <w:t>hälter für halogenhaltige organische Abfälle. Die wässrige Phase kann über dem Ausguss entsorgt werden.</w:t>
      </w:r>
    </w:p>
    <w:p w:rsidR="0079054D" w:rsidRDefault="0079054D" w:rsidP="0079054D">
      <w:pPr>
        <w:ind w:left="2124" w:hanging="2124"/>
      </w:pPr>
      <w:r>
        <w:t>Literatur:</w:t>
      </w:r>
      <w:r>
        <w:tab/>
      </w:r>
      <w:r w:rsidRPr="00555938">
        <w:t>[1] P</w:t>
      </w:r>
      <w:r>
        <w:t>rof. Dr. Blume 2002, Chemie rund um das Ethe</w:t>
      </w:r>
      <w:r w:rsidRPr="00555938">
        <w:t xml:space="preserve">n, </w:t>
      </w:r>
      <w:r w:rsidRPr="003B7F33">
        <w:t>http://www.chemieunterricht.de/dc2/ch/cht-107.htm</w:t>
      </w:r>
      <w:r w:rsidRPr="00555938">
        <w:t>, zuletzt abgerufen am 07.08.2013</w:t>
      </w:r>
    </w:p>
    <w:p w:rsidR="0079054D" w:rsidRDefault="0079054D" w:rsidP="0079054D">
      <w:pPr>
        <w:ind w:left="2124"/>
      </w:pPr>
      <w:r>
        <w:t>[2</w:t>
      </w:r>
      <w:r w:rsidRPr="00B5240F">
        <w:t>] Hans Keune und Manfred Just 1999, Chemische Schulexperimente – Band 2 Organsiche Che</w:t>
      </w:r>
      <w:r>
        <w:t>mie, S. 63-64</w:t>
      </w:r>
    </w:p>
    <w:p w:rsidR="0079054D" w:rsidRDefault="0079054D" w:rsidP="0079054D">
      <w:pPr>
        <w:pStyle w:val="berschrift2"/>
        <w:numPr>
          <w:ilvl w:val="0"/>
          <w:numId w:val="0"/>
        </w:numPr>
        <w:ind w:left="576"/>
      </w:pPr>
      <w:r>
        <w:rPr>
          <w:noProof/>
        </w:rPr>
        <w:lastRenderedPageBreak/>
        <w:pict>
          <v:shape id="_x0000_s1060" type="#_x0000_t202" style="position:absolute;left:0;text-align:left;margin-left:1.05pt;margin-top:-11.1pt;width:451.85pt;height:112.75pt;z-index:251661312;mso-width-relative:margin;mso-height-relative:margin" strokecolor="#c0504d [3205]">
            <v:stroke dashstyle="dash"/>
            <v:textbox style="mso-next-textbox:#_x0000_s1060">
              <w:txbxContent>
                <w:p w:rsidR="0079054D" w:rsidRDefault="0079054D" w:rsidP="0079054D">
                  <w:r>
                    <w:t>Die SuS sollen Anhand der Nachweisreaktion mit Brom eine Doppelbindung als reaktives Zentrum kennen und verstehen lernen. Ein weiteres Lernziel sollte der Mechanismus der elektrophilen Addition sein. Mit der BAYER Reagenz lernen die SuS eine weitere wichtige Nachweisreaktion der Doppelbindung kennen.</w:t>
                  </w:r>
                </w:p>
                <w:p w:rsidR="0079054D" w:rsidRDefault="0079054D" w:rsidP="0079054D">
                  <w:r>
                    <w:t>Da mit Gasen und Bromwasser experimentiert wird, ist unter dem Abzug zu arbeiten.</w:t>
                  </w:r>
                </w:p>
              </w:txbxContent>
            </v:textbox>
            <w10:wrap type="square"/>
          </v:shape>
        </w:pict>
      </w:r>
    </w:p>
    <w:p w:rsidR="00C31120" w:rsidRPr="0079054D" w:rsidRDefault="00C31120" w:rsidP="0079054D"/>
    <w:sectPr w:rsidR="00C31120" w:rsidRPr="0079054D" w:rsidSect="00C31120">
      <w:headerReference w:type="defaul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A6E" w:rsidRDefault="00B65A6E" w:rsidP="0007623E">
      <w:pPr>
        <w:spacing w:after="0" w:line="240" w:lineRule="auto"/>
      </w:pPr>
      <w:r>
        <w:separator/>
      </w:r>
    </w:p>
  </w:endnote>
  <w:endnote w:type="continuationSeparator" w:id="1">
    <w:p w:rsidR="00B65A6E" w:rsidRDefault="00B65A6E" w:rsidP="00076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A6E" w:rsidRDefault="00B65A6E" w:rsidP="0007623E">
      <w:pPr>
        <w:spacing w:after="0" w:line="240" w:lineRule="auto"/>
      </w:pPr>
      <w:r>
        <w:separator/>
      </w:r>
    </w:p>
  </w:footnote>
  <w:footnote w:type="continuationSeparator" w:id="1">
    <w:p w:rsidR="00B65A6E" w:rsidRDefault="00B65A6E" w:rsidP="00076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3E" w:rsidRDefault="00FF6BA7">
    <w:pPr>
      <w:pStyle w:val="Kopfzeile"/>
    </w:pPr>
    <w:r>
      <w:t>V</w:t>
    </w:r>
    <w:r w:rsidR="0079054D">
      <w:t>4</w:t>
    </w:r>
    <w:r w:rsidR="002A3072">
      <w:t xml:space="preserve"> - </w:t>
    </w:r>
    <w:r w:rsidR="0079054D">
      <w:t>Reaktionen des Ethens</w:t>
    </w:r>
    <w:r w:rsidR="0096712D">
      <w:tab/>
    </w:r>
    <w:r w:rsidR="0096712D">
      <w:tab/>
    </w:r>
    <w:r w:rsidR="0096712D">
      <w:tab/>
    </w:r>
    <w:fldSimple w:instr=" PAGE   \* MERGEFORMAT ">
      <w:r w:rsidR="0079054D">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623E"/>
    <w:rsid w:val="0007623E"/>
    <w:rsid w:val="002455D9"/>
    <w:rsid w:val="002A3072"/>
    <w:rsid w:val="002E5E80"/>
    <w:rsid w:val="004A194E"/>
    <w:rsid w:val="00622542"/>
    <w:rsid w:val="0079054D"/>
    <w:rsid w:val="008A594E"/>
    <w:rsid w:val="0096712D"/>
    <w:rsid w:val="0098440F"/>
    <w:rsid w:val="009A7400"/>
    <w:rsid w:val="009E15E9"/>
    <w:rsid w:val="00A935F2"/>
    <w:rsid w:val="00B65A6E"/>
    <w:rsid w:val="00BA4141"/>
    <w:rsid w:val="00C31120"/>
    <w:rsid w:val="00D51A2B"/>
    <w:rsid w:val="00E113F3"/>
    <w:rsid w:val="00E743BB"/>
    <w:rsid w:val="00EA45ED"/>
    <w:rsid w:val="00F4108B"/>
    <w:rsid w:val="00FF6BA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23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7623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623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7623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7623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7623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7623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7623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7623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7623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23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7623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7623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7623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7623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7623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7623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7623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7623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7623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762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23E"/>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762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23E"/>
    <w:rPr>
      <w:rFonts w:ascii="Cambria" w:hAnsi="Cambria"/>
      <w:color w:val="1D1B11" w:themeColor="background2" w:themeShade="1A"/>
    </w:rPr>
  </w:style>
  <w:style w:type="paragraph" w:styleId="Fuzeile">
    <w:name w:val="footer"/>
    <w:basedOn w:val="Standard"/>
    <w:link w:val="FuzeileZchn"/>
    <w:uiPriority w:val="99"/>
    <w:semiHidden/>
    <w:unhideWhenUsed/>
    <w:rsid w:val="0007623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7623E"/>
    <w:rPr>
      <w:rFonts w:ascii="Cambria" w:hAnsi="Cambria"/>
      <w:color w:val="1D1B11" w:themeColor="background2" w:themeShade="1A"/>
    </w:rPr>
  </w:style>
  <w:style w:type="paragraph" w:styleId="Textkrper">
    <w:name w:val="Body Text"/>
    <w:basedOn w:val="Standard"/>
    <w:link w:val="TextkrperZchn"/>
    <w:rsid w:val="00E113F3"/>
    <w:pPr>
      <w:suppressAutoHyphens/>
      <w:spacing w:after="120"/>
    </w:pPr>
    <w:rPr>
      <w:rFonts w:eastAsia="Arial Unicode MS" w:cs="Calibri"/>
      <w:color w:val="1D1B11"/>
      <w:kern w:val="1"/>
    </w:rPr>
  </w:style>
  <w:style w:type="character" w:customStyle="1" w:styleId="TextkrperZchn">
    <w:name w:val="Textkörper Zchn"/>
    <w:basedOn w:val="Absatz-Standardschriftart"/>
    <w:link w:val="Textkrper"/>
    <w:rsid w:val="00E113F3"/>
    <w:rPr>
      <w:rFonts w:ascii="Cambria" w:eastAsia="Arial Unicode MS" w:hAnsi="Cambria" w:cs="Calibri"/>
      <w:color w:val="1D1B11"/>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7285-7A4B-4B92-86AB-DF02FA45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Wuttke</dc:creator>
  <cp:lastModifiedBy>Axel Wuttke</cp:lastModifiedBy>
  <cp:revision>2</cp:revision>
  <dcterms:created xsi:type="dcterms:W3CDTF">2013-08-12T20:35:00Z</dcterms:created>
  <dcterms:modified xsi:type="dcterms:W3CDTF">2013-08-12T20:35:00Z</dcterms:modified>
</cp:coreProperties>
</file>