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499" w:rsidRPr="00562499" w:rsidRDefault="00562499" w:rsidP="00562499">
      <w:pPr>
        <w:rPr>
          <w:b/>
          <w:sz w:val="32"/>
          <w:szCs w:val="32"/>
        </w:rPr>
      </w:pPr>
      <w:bookmarkStart w:id="0" w:name="_Toc364077272"/>
      <w:r>
        <w:rPr>
          <w:noProof/>
        </w:rPr>
        <w:pict>
          <v:shapetype id="_x0000_t202" coordsize="21600,21600" o:spt="202" path="m,l,21600r21600,l21600,xe">
            <v:stroke joinstyle="miter"/>
            <v:path gradientshapeok="t" o:connecttype="rect"/>
          </v:shapetype>
          <v:shape id="_x0000_s1063" type="#_x0000_t202" style="position:absolute;left:0;text-align:left;margin-left:1.05pt;margin-top:48.4pt;width:451.5pt;height:79.6pt;z-index:251661312;mso-width-relative:margin;mso-height-relative:margin" strokecolor="#4f81bd [3204]">
            <v:stroke dashstyle="dash"/>
            <v:textbox>
              <w:txbxContent>
                <w:p w:rsidR="00562499" w:rsidRDefault="00562499" w:rsidP="00562499">
                  <w:r w:rsidRPr="00EE68FA">
                    <w:t xml:space="preserve">Mit diesen Experimenten werden Eigenschaften </w:t>
                  </w:r>
                  <w:r>
                    <w:t>und Nachweisreaktionen der Aleki</w:t>
                  </w:r>
                  <w:r w:rsidRPr="00EE68FA">
                    <w:t>ne aufg</w:t>
                  </w:r>
                  <w:r w:rsidRPr="00EE68FA">
                    <w:t>e</w:t>
                  </w:r>
                  <w:r w:rsidRPr="00EE68FA">
                    <w:t>zeigt. Die SuS sollten den grundlegenden Aufbau von Kohlenwasserstoffen kennen und mit dem Aufzeichnen organischer Reaktionsmechanismen vertraut sein.</w:t>
                  </w:r>
                </w:p>
              </w:txbxContent>
            </v:textbox>
            <w10:wrap type="square"/>
          </v:shape>
        </w:pict>
      </w:r>
      <w:r w:rsidRPr="00562499">
        <w:rPr>
          <w:b/>
          <w:sz w:val="32"/>
          <w:szCs w:val="32"/>
        </w:rPr>
        <w:t>V5 – Reaktionen des Ethins</w:t>
      </w:r>
      <w:bookmarkEnd w:id="0"/>
    </w:p>
    <w:p w:rsidR="00562499" w:rsidRDefault="00562499" w:rsidP="00562499"/>
    <w:tbl>
      <w:tblPr>
        <w:tblW w:w="9322" w:type="dxa"/>
        <w:tblBorders>
          <w:top w:val="single" w:sz="8" w:space="0" w:color="4F81BD"/>
          <w:left w:val="single" w:sz="8" w:space="0" w:color="4F81BD"/>
          <w:bottom w:val="single" w:sz="8" w:space="0" w:color="4F81BD"/>
          <w:right w:val="single" w:sz="8" w:space="0" w:color="4F81BD"/>
          <w:insideH w:val="single" w:sz="8" w:space="0" w:color="4F81BD"/>
        </w:tblBorders>
        <w:tblLayout w:type="fixed"/>
        <w:tblLook w:val="04A0"/>
      </w:tblPr>
      <w:tblGrid>
        <w:gridCol w:w="1009"/>
        <w:gridCol w:w="1009"/>
        <w:gridCol w:w="1009"/>
        <w:gridCol w:w="1009"/>
        <w:gridCol w:w="1175"/>
        <w:gridCol w:w="993"/>
        <w:gridCol w:w="975"/>
        <w:gridCol w:w="1009"/>
        <w:gridCol w:w="1134"/>
      </w:tblGrid>
      <w:tr w:rsidR="00562499" w:rsidRPr="009C5E28" w:rsidTr="00E201E7">
        <w:tc>
          <w:tcPr>
            <w:tcW w:w="9322" w:type="dxa"/>
            <w:gridSpan w:val="9"/>
            <w:shd w:val="clear" w:color="auto" w:fill="4F81BD"/>
            <w:vAlign w:val="center"/>
          </w:tcPr>
          <w:p w:rsidR="00562499" w:rsidRPr="009C5E28" w:rsidRDefault="00562499" w:rsidP="00E201E7">
            <w:pPr>
              <w:spacing w:after="0"/>
              <w:jc w:val="center"/>
              <w:rPr>
                <w:b/>
                <w:bCs/>
              </w:rPr>
            </w:pPr>
            <w:r w:rsidRPr="009C5E28">
              <w:rPr>
                <w:b/>
                <w:bCs/>
              </w:rPr>
              <w:t>Gefahrenstoffe</w:t>
            </w:r>
          </w:p>
        </w:tc>
      </w:tr>
      <w:tr w:rsidR="00562499" w:rsidRPr="009C5E28" w:rsidTr="00E201E7">
        <w:trPr>
          <w:trHeight w:val="437"/>
        </w:trPr>
        <w:tc>
          <w:tcPr>
            <w:tcW w:w="3027" w:type="dxa"/>
            <w:gridSpan w:val="3"/>
            <w:shd w:val="clear" w:color="auto" w:fill="auto"/>
            <w:vAlign w:val="center"/>
          </w:tcPr>
          <w:p w:rsidR="00562499" w:rsidRPr="009C5E28" w:rsidRDefault="00562499" w:rsidP="00E201E7">
            <w:pPr>
              <w:spacing w:after="0" w:line="276" w:lineRule="auto"/>
              <w:jc w:val="center"/>
              <w:rPr>
                <w:b/>
                <w:bCs/>
              </w:rPr>
            </w:pPr>
            <w:r>
              <w:rPr>
                <w:sz w:val="20"/>
              </w:rPr>
              <w:t>BAYERS Reagenz</w:t>
            </w:r>
          </w:p>
        </w:tc>
        <w:tc>
          <w:tcPr>
            <w:tcW w:w="3177" w:type="dxa"/>
            <w:gridSpan w:val="3"/>
            <w:shd w:val="clear" w:color="auto" w:fill="auto"/>
            <w:vAlign w:val="center"/>
          </w:tcPr>
          <w:p w:rsidR="00562499" w:rsidRPr="009F040F" w:rsidRDefault="00562499" w:rsidP="00E201E7">
            <w:pPr>
              <w:pStyle w:val="Beschriftung"/>
              <w:spacing w:after="0"/>
              <w:jc w:val="center"/>
              <w:rPr>
                <w:sz w:val="20"/>
              </w:rPr>
            </w:pPr>
            <w:r w:rsidRPr="00981534">
              <w:rPr>
                <w:sz w:val="20"/>
              </w:rPr>
              <w:t>H: 272-302-410</w:t>
            </w:r>
          </w:p>
        </w:tc>
        <w:tc>
          <w:tcPr>
            <w:tcW w:w="3118" w:type="dxa"/>
            <w:gridSpan w:val="3"/>
            <w:shd w:val="clear" w:color="auto" w:fill="auto"/>
            <w:vAlign w:val="center"/>
          </w:tcPr>
          <w:p w:rsidR="00562499" w:rsidRPr="009F040F" w:rsidRDefault="00562499" w:rsidP="00E201E7">
            <w:pPr>
              <w:pStyle w:val="Beschriftung"/>
              <w:spacing w:after="0"/>
              <w:jc w:val="center"/>
              <w:rPr>
                <w:sz w:val="20"/>
              </w:rPr>
            </w:pPr>
            <w:r w:rsidRPr="00981534">
              <w:rPr>
                <w:sz w:val="20"/>
              </w:rPr>
              <w:t>P: 210-​273</w:t>
            </w:r>
          </w:p>
        </w:tc>
      </w:tr>
      <w:tr w:rsidR="00562499" w:rsidRPr="009C5E28" w:rsidTr="00E201E7">
        <w:trPr>
          <w:trHeight w:val="434"/>
        </w:trPr>
        <w:tc>
          <w:tcPr>
            <w:tcW w:w="3027" w:type="dxa"/>
            <w:gridSpan w:val="3"/>
            <w:shd w:val="clear" w:color="auto" w:fill="auto"/>
            <w:vAlign w:val="center"/>
          </w:tcPr>
          <w:p w:rsidR="00562499" w:rsidRPr="009C5E28" w:rsidRDefault="00562499" w:rsidP="00E201E7">
            <w:pPr>
              <w:spacing w:after="0" w:line="276" w:lineRule="auto"/>
              <w:jc w:val="center"/>
              <w:rPr>
                <w:bCs/>
                <w:sz w:val="20"/>
              </w:rPr>
            </w:pPr>
            <w:r>
              <w:rPr>
                <w:color w:val="auto"/>
                <w:sz w:val="20"/>
                <w:szCs w:val="20"/>
              </w:rPr>
              <w:t>Bromwasser</w:t>
            </w:r>
          </w:p>
        </w:tc>
        <w:tc>
          <w:tcPr>
            <w:tcW w:w="3177" w:type="dxa"/>
            <w:gridSpan w:val="3"/>
            <w:shd w:val="clear" w:color="auto" w:fill="auto"/>
            <w:vAlign w:val="center"/>
          </w:tcPr>
          <w:p w:rsidR="00562499" w:rsidRPr="009C5E28" w:rsidRDefault="00562499" w:rsidP="00E201E7">
            <w:pPr>
              <w:pStyle w:val="Beschriftung"/>
              <w:spacing w:after="0"/>
              <w:jc w:val="center"/>
              <w:rPr>
                <w:sz w:val="20"/>
              </w:rPr>
            </w:pPr>
            <w:r w:rsidRPr="0097132F">
              <w:rPr>
                <w:sz w:val="20"/>
              </w:rPr>
              <w:t>H: 330-314-400</w:t>
            </w:r>
          </w:p>
        </w:tc>
        <w:tc>
          <w:tcPr>
            <w:tcW w:w="3118" w:type="dxa"/>
            <w:gridSpan w:val="3"/>
            <w:shd w:val="clear" w:color="auto" w:fill="auto"/>
            <w:vAlign w:val="center"/>
          </w:tcPr>
          <w:p w:rsidR="00562499" w:rsidRPr="009C5E28" w:rsidRDefault="00562499" w:rsidP="00E201E7">
            <w:pPr>
              <w:pStyle w:val="Beschriftung"/>
              <w:spacing w:after="0"/>
              <w:jc w:val="center"/>
              <w:rPr>
                <w:sz w:val="20"/>
              </w:rPr>
            </w:pPr>
            <w:r w:rsidRPr="0097132F">
              <w:rPr>
                <w:sz w:val="20"/>
              </w:rPr>
              <w:t>P: 210-​273-​304+340-​305+351+338-​309-​310-​403+233</w:t>
            </w:r>
          </w:p>
        </w:tc>
      </w:tr>
      <w:tr w:rsidR="00562499" w:rsidRPr="009C5E28" w:rsidTr="00E201E7">
        <w:trPr>
          <w:trHeight w:val="434"/>
        </w:trPr>
        <w:tc>
          <w:tcPr>
            <w:tcW w:w="3027" w:type="dxa"/>
            <w:gridSpan w:val="3"/>
            <w:shd w:val="clear" w:color="auto" w:fill="auto"/>
            <w:vAlign w:val="center"/>
          </w:tcPr>
          <w:p w:rsidR="00562499" w:rsidRDefault="00562499" w:rsidP="00E201E7">
            <w:pPr>
              <w:spacing w:after="0" w:line="276" w:lineRule="auto"/>
              <w:jc w:val="center"/>
              <w:rPr>
                <w:color w:val="auto"/>
                <w:sz w:val="20"/>
                <w:szCs w:val="20"/>
              </w:rPr>
            </w:pPr>
            <w:r>
              <w:rPr>
                <w:color w:val="auto"/>
                <w:sz w:val="20"/>
                <w:szCs w:val="20"/>
              </w:rPr>
              <w:t>Ethin</w:t>
            </w:r>
          </w:p>
        </w:tc>
        <w:tc>
          <w:tcPr>
            <w:tcW w:w="3177" w:type="dxa"/>
            <w:gridSpan w:val="3"/>
            <w:shd w:val="clear" w:color="auto" w:fill="auto"/>
            <w:vAlign w:val="center"/>
          </w:tcPr>
          <w:p w:rsidR="00562499" w:rsidRPr="009F040F" w:rsidRDefault="00562499" w:rsidP="00E201E7">
            <w:pPr>
              <w:pStyle w:val="Beschriftung"/>
              <w:spacing w:after="0"/>
              <w:jc w:val="center"/>
              <w:rPr>
                <w:sz w:val="20"/>
              </w:rPr>
            </w:pPr>
            <w:r w:rsidRPr="009F416D">
              <w:rPr>
                <w:sz w:val="20"/>
              </w:rPr>
              <w:t>H: 220-280</w:t>
            </w:r>
          </w:p>
        </w:tc>
        <w:tc>
          <w:tcPr>
            <w:tcW w:w="3118" w:type="dxa"/>
            <w:gridSpan w:val="3"/>
            <w:shd w:val="clear" w:color="auto" w:fill="auto"/>
            <w:vAlign w:val="center"/>
          </w:tcPr>
          <w:p w:rsidR="00562499" w:rsidRPr="009F040F" w:rsidRDefault="00562499" w:rsidP="00E201E7">
            <w:pPr>
              <w:pStyle w:val="Beschriftung"/>
              <w:spacing w:after="0"/>
              <w:jc w:val="center"/>
              <w:rPr>
                <w:sz w:val="20"/>
              </w:rPr>
            </w:pPr>
            <w:r w:rsidRPr="009F416D">
              <w:rPr>
                <w:sz w:val="20"/>
              </w:rPr>
              <w:t>P: 210</w:t>
            </w:r>
          </w:p>
        </w:tc>
      </w:tr>
      <w:tr w:rsidR="00562499" w:rsidRPr="009C5E28" w:rsidTr="00E201E7">
        <w:tc>
          <w:tcPr>
            <w:tcW w:w="1009" w:type="dxa"/>
            <w:shd w:val="clear" w:color="auto" w:fill="auto"/>
            <w:vAlign w:val="center"/>
          </w:tcPr>
          <w:p w:rsidR="00562499" w:rsidRPr="009C5E28" w:rsidRDefault="00562499" w:rsidP="00E201E7">
            <w:pPr>
              <w:spacing w:after="0"/>
              <w:jc w:val="center"/>
              <w:rPr>
                <w:b/>
                <w:bCs/>
              </w:rPr>
            </w:pPr>
            <w:r>
              <w:rPr>
                <w:b/>
                <w:noProof/>
                <w:lang w:eastAsia="de-DE"/>
              </w:rPr>
              <w:drawing>
                <wp:inline distT="0" distB="0" distL="0" distR="0">
                  <wp:extent cx="504190" cy="504190"/>
                  <wp:effectExtent l="19050" t="0" r="0" b="0"/>
                  <wp:docPr id="105"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562499" w:rsidRPr="009C5E28" w:rsidRDefault="00562499" w:rsidP="00E201E7">
            <w:pPr>
              <w:spacing w:after="0"/>
              <w:jc w:val="center"/>
            </w:pPr>
            <w:r>
              <w:rPr>
                <w:noProof/>
                <w:lang w:eastAsia="de-DE"/>
              </w:rPr>
              <w:drawing>
                <wp:inline distT="0" distB="0" distL="0" distR="0">
                  <wp:extent cx="504190" cy="504190"/>
                  <wp:effectExtent l="19050" t="0" r="0" b="0"/>
                  <wp:docPr id="106"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cstate="prin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562499" w:rsidRPr="009C5E28" w:rsidRDefault="00562499" w:rsidP="00E201E7">
            <w:pPr>
              <w:spacing w:after="0"/>
              <w:jc w:val="center"/>
            </w:pPr>
            <w:r>
              <w:rPr>
                <w:noProof/>
                <w:lang w:eastAsia="de-DE"/>
              </w:rPr>
              <w:drawing>
                <wp:inline distT="0" distB="0" distL="0" distR="0">
                  <wp:extent cx="504190" cy="504190"/>
                  <wp:effectExtent l="19050" t="0" r="0" b="0"/>
                  <wp:docPr id="10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562499" w:rsidRPr="009C5E28" w:rsidRDefault="00562499" w:rsidP="00E201E7">
            <w:pPr>
              <w:spacing w:after="0"/>
              <w:jc w:val="center"/>
            </w:pPr>
            <w:r>
              <w:rPr>
                <w:noProof/>
                <w:lang w:eastAsia="de-DE"/>
              </w:rPr>
              <w:drawing>
                <wp:inline distT="0" distB="0" distL="0" distR="0">
                  <wp:extent cx="504190" cy="504190"/>
                  <wp:effectExtent l="0" t="0" r="0" b="0"/>
                  <wp:docPr id="10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562499" w:rsidRPr="009C5E28" w:rsidRDefault="00562499" w:rsidP="00E201E7">
            <w:pPr>
              <w:spacing w:after="0"/>
              <w:jc w:val="center"/>
            </w:pPr>
            <w:r>
              <w:rPr>
                <w:noProof/>
                <w:lang w:eastAsia="de-DE"/>
              </w:rPr>
              <w:drawing>
                <wp:inline distT="0" distB="0" distL="0" distR="0">
                  <wp:extent cx="504190" cy="504190"/>
                  <wp:effectExtent l="0" t="0" r="0" b="0"/>
                  <wp:docPr id="10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562499" w:rsidRPr="009C5E28" w:rsidRDefault="00562499" w:rsidP="00E201E7">
            <w:pPr>
              <w:spacing w:after="0"/>
              <w:jc w:val="center"/>
            </w:pPr>
            <w:r>
              <w:rPr>
                <w:noProof/>
                <w:lang w:eastAsia="de-DE"/>
              </w:rPr>
              <w:drawing>
                <wp:inline distT="0" distB="0" distL="0" distR="0">
                  <wp:extent cx="504190" cy="504190"/>
                  <wp:effectExtent l="0" t="0" r="0" b="0"/>
                  <wp:docPr id="11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562499" w:rsidRPr="009C5E28" w:rsidRDefault="00562499" w:rsidP="00E201E7">
            <w:pPr>
              <w:spacing w:after="0"/>
              <w:jc w:val="center"/>
            </w:pPr>
            <w:r>
              <w:rPr>
                <w:noProof/>
                <w:lang w:eastAsia="de-DE"/>
              </w:rPr>
              <w:drawing>
                <wp:inline distT="0" distB="0" distL="0" distR="0">
                  <wp:extent cx="504190" cy="504190"/>
                  <wp:effectExtent l="19050" t="0" r="0" b="0"/>
                  <wp:docPr id="11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cstate="prin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562499" w:rsidRPr="009C5E28" w:rsidRDefault="00562499" w:rsidP="00E201E7">
            <w:pPr>
              <w:spacing w:after="0"/>
              <w:jc w:val="center"/>
            </w:pPr>
            <w:r>
              <w:rPr>
                <w:noProof/>
                <w:lang w:eastAsia="de-DE"/>
              </w:rPr>
              <w:drawing>
                <wp:inline distT="0" distB="0" distL="0" distR="0">
                  <wp:extent cx="511175" cy="511175"/>
                  <wp:effectExtent l="19050" t="0" r="3175" b="0"/>
                  <wp:docPr id="11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a:stretch>
                            <a:fillRect/>
                          </a:stretch>
                        </pic:blipFill>
                        <pic:spPr bwMode="auto">
                          <a:xfrm>
                            <a:off x="0" y="0"/>
                            <a:ext cx="511175" cy="511175"/>
                          </a:xfrm>
                          <a:prstGeom prst="rect">
                            <a:avLst/>
                          </a:prstGeom>
                          <a:noFill/>
                          <a:ln>
                            <a:noFill/>
                          </a:ln>
                        </pic:spPr>
                      </pic:pic>
                    </a:graphicData>
                  </a:graphic>
                </wp:inline>
              </w:drawing>
            </w:r>
          </w:p>
        </w:tc>
        <w:tc>
          <w:tcPr>
            <w:tcW w:w="1134" w:type="dxa"/>
            <w:shd w:val="clear" w:color="auto" w:fill="auto"/>
            <w:vAlign w:val="center"/>
          </w:tcPr>
          <w:p w:rsidR="00562499" w:rsidRPr="009C5E28" w:rsidRDefault="00562499" w:rsidP="00E201E7">
            <w:pPr>
              <w:spacing w:after="0"/>
              <w:jc w:val="center"/>
            </w:pPr>
            <w:r>
              <w:rPr>
                <w:noProof/>
                <w:lang w:eastAsia="de-DE"/>
              </w:rPr>
              <w:drawing>
                <wp:inline distT="0" distB="0" distL="0" distR="0">
                  <wp:extent cx="504190" cy="504190"/>
                  <wp:effectExtent l="19050" t="0" r="0" b="0"/>
                  <wp:docPr id="11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cstate="print"/>
                          <a:stretch>
                            <a:fillRect/>
                          </a:stretch>
                        </pic:blipFill>
                        <pic:spPr bwMode="auto">
                          <a:xfrm>
                            <a:off x="0" y="0"/>
                            <a:ext cx="504190" cy="504190"/>
                          </a:xfrm>
                          <a:prstGeom prst="rect">
                            <a:avLst/>
                          </a:prstGeom>
                          <a:noFill/>
                          <a:ln>
                            <a:noFill/>
                          </a:ln>
                        </pic:spPr>
                      </pic:pic>
                    </a:graphicData>
                  </a:graphic>
                </wp:inline>
              </w:drawing>
            </w:r>
          </w:p>
        </w:tc>
      </w:tr>
    </w:tbl>
    <w:p w:rsidR="00562499" w:rsidRPr="00EE68FA" w:rsidRDefault="00562499" w:rsidP="00562499"/>
    <w:p w:rsidR="00562499" w:rsidRDefault="00562499" w:rsidP="00562499">
      <w:r>
        <w:t>Materialien:</w:t>
      </w:r>
      <w:r>
        <w:tab/>
      </w:r>
      <w:r>
        <w:tab/>
        <w:t>Reagenzgläser, Pipetten, Stopfen</w:t>
      </w:r>
    </w:p>
    <w:p w:rsidR="00562499" w:rsidRDefault="00562499" w:rsidP="00562499">
      <w:r>
        <w:t>Chemikalien:</w:t>
      </w:r>
      <w:r>
        <w:tab/>
      </w:r>
      <w:r>
        <w:tab/>
        <w:t>BAYERs Reagenz, Bromwasser, Ethin</w:t>
      </w:r>
    </w:p>
    <w:p w:rsidR="00562499" w:rsidRDefault="00562499" w:rsidP="00562499">
      <w:pPr>
        <w:ind w:left="2124" w:hanging="2124"/>
      </w:pPr>
      <w:r>
        <w:t xml:space="preserve">Durchführung: </w:t>
      </w:r>
      <w:r>
        <w:tab/>
        <w:t>1. In ein Reagenzglas mit Ethin werden 3 mL BAYER Reagenz gegeben. Das Reagenzglas wird wieder mit dem Stopfen verschlossen und geschü</w:t>
      </w:r>
      <w:r>
        <w:t>t</w:t>
      </w:r>
      <w:r>
        <w:t>telt.</w:t>
      </w:r>
    </w:p>
    <w:p w:rsidR="00562499" w:rsidRDefault="00562499" w:rsidP="00562499">
      <w:pPr>
        <w:ind w:left="2124"/>
      </w:pPr>
      <w:r>
        <w:t>2. In ein Reagenzglas mit Ethin werden 3 mL Bromwasser gegeben. Das Reagenzglas wird wieder mit dem Stopfen verschlossen und geschüttelt.</w:t>
      </w:r>
    </w:p>
    <w:p w:rsidR="00562499" w:rsidRDefault="00562499" w:rsidP="00562499">
      <w:pPr>
        <w:ind w:left="2124"/>
      </w:pPr>
      <w:r>
        <w:t>3. An einen mit Ethin gefüllten Standzylinder wird ein brennender Glimmspan gehalten.</w:t>
      </w:r>
    </w:p>
    <w:p w:rsidR="00562499" w:rsidRDefault="00562499" w:rsidP="00562499">
      <w:r>
        <w:t>Beobachtungen:</w:t>
      </w:r>
      <w:r>
        <w:tab/>
        <w:t>1. Die violette Färbung verschwindet, ein brauner Feststoff fällt aus.</w:t>
      </w:r>
    </w:p>
    <w:p w:rsidR="00562499" w:rsidRDefault="00562499" w:rsidP="00562499">
      <w:pPr>
        <w:ind w:left="1416" w:firstLine="708"/>
      </w:pPr>
      <w:r>
        <w:t>2. Das Bromwasser entfärbt sich leicht und wird gelblich.</w:t>
      </w:r>
    </w:p>
    <w:p w:rsidR="00562499" w:rsidRDefault="00562499" w:rsidP="00562499">
      <w:pPr>
        <w:ind w:left="1416" w:firstLine="708"/>
      </w:pPr>
      <w:r>
        <w:t>3. Das Ethin entzündet sich und verbrennt langsam.</w:t>
      </w:r>
    </w:p>
    <w:p w:rsidR="00562499" w:rsidRDefault="00562499" w:rsidP="00562499">
      <w:pPr>
        <w:ind w:left="2124" w:hanging="2124"/>
      </w:pPr>
      <w:r>
        <w:t>Deutung:</w:t>
      </w:r>
      <w:r>
        <w:tab/>
        <w:t>1. Permangant-Ionen oxidieren das Ethin zu Ethandial, dabei entsteht ein dunkler brauner Niederschlag von Mangan(IV)-oxidihydrat.</w:t>
      </w:r>
    </w:p>
    <w:p w:rsidR="00562499" w:rsidRPr="00E60C34" w:rsidRDefault="00562499" w:rsidP="00562499">
      <w:pPr>
        <w:rPr>
          <w:oMath/>
          <w:rFonts w:ascii="Cambria Math" w:hAnsi="Cambria Math"/>
        </w:rPr>
      </w:pPr>
      <m:oMathPara>
        <m:oMath>
          <m:r>
            <w:rPr>
              <w:rFonts w:ascii="Cambria Math" w:hAnsi="Cambria Math"/>
            </w:rPr>
            <m:t>3CH≡C</m:t>
          </m:r>
          <m:sSub>
            <m:sSubPr>
              <m:ctrlPr>
                <w:rPr>
                  <w:rFonts w:ascii="Cambria Math" w:hAnsi="Cambria Math"/>
                  <w:i/>
                </w:rPr>
              </m:ctrlPr>
            </m:sSubPr>
            <m:e>
              <m:r>
                <w:rPr>
                  <w:rFonts w:ascii="Cambria Math" w:hAnsi="Cambria Math"/>
                </w:rPr>
                <m:t>H</m:t>
              </m:r>
            </m:e>
            <m:sub>
              <m:d>
                <m:dPr>
                  <m:ctrlPr>
                    <w:rPr>
                      <w:rFonts w:ascii="Cambria Math" w:hAnsi="Cambria Math"/>
                      <w:i/>
                    </w:rPr>
                  </m:ctrlPr>
                </m:dPr>
                <m:e>
                  <m:r>
                    <w:rPr>
                      <w:rFonts w:ascii="Cambria Math" w:hAnsi="Cambria Math"/>
                    </w:rPr>
                    <m:t>g</m:t>
                  </m:r>
                </m:e>
              </m:d>
            </m:sub>
          </m:sSub>
          <m:r>
            <w:rPr>
              <w:rFonts w:ascii="Cambria Math" w:hAnsi="Cambria Math"/>
            </w:rPr>
            <m:t>+4Mn</m:t>
          </m:r>
          <m:sSubSup>
            <m:sSubSupPr>
              <m:ctrlPr>
                <w:rPr>
                  <w:rFonts w:ascii="Cambria Math" w:hAnsi="Cambria Math"/>
                  <w:i/>
                </w:rPr>
              </m:ctrlPr>
            </m:sSubSupPr>
            <m:e>
              <m:r>
                <w:rPr>
                  <w:rFonts w:ascii="Cambria Math" w:hAnsi="Cambria Math"/>
                </w:rPr>
                <m:t>O</m:t>
              </m:r>
            </m:e>
            <m:sub>
              <m:r>
                <w:rPr>
                  <w:rFonts w:ascii="Cambria Math" w:hAnsi="Cambria Math"/>
                </w:rPr>
                <m:t>4(aq)</m:t>
              </m:r>
            </m:sub>
            <m:sup>
              <m:r>
                <w:rPr>
                  <w:rFonts w:ascii="Cambria Math" w:hAnsi="Cambria Math"/>
                </w:rPr>
                <m:t>-</m:t>
              </m:r>
            </m:sup>
          </m:sSubSup>
          <m:r>
            <w:rPr>
              <w:rFonts w:ascii="Cambria Math" w:hAnsi="Cambria Math"/>
            </w:rPr>
            <m:t>+6</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O</m:t>
              </m:r>
            </m:e>
            <m:sub>
              <m:d>
                <m:dPr>
                  <m:ctrlPr>
                    <w:rPr>
                      <w:rFonts w:ascii="Cambria Math" w:hAnsi="Cambria Math"/>
                      <w:i/>
                    </w:rPr>
                  </m:ctrlPr>
                </m:dPr>
                <m:e>
                  <m:r>
                    <w:rPr>
                      <w:rFonts w:ascii="Cambria Math" w:hAnsi="Cambria Math"/>
                    </w:rPr>
                    <m:t>l</m:t>
                  </m:r>
                </m:e>
              </m:d>
              <m:ctrlPr>
                <w:rPr>
                  <w:rFonts w:ascii="Cambria Math" w:hAnsi="Cambria Math" w:cs="Times New Roman"/>
                  <w:i/>
                </w:rPr>
              </m:ctrlPr>
            </m:sub>
          </m:sSub>
          <m:r>
            <w:rPr>
              <w:rFonts w:ascii="Cambria Math" w:hAnsi="Cambria Math" w:cs="Times New Roman"/>
            </w:rPr>
            <m:t>→</m:t>
          </m:r>
          <m:r>
            <w:rPr>
              <w:rFonts w:ascii="Cambria Math" w:hAnsi="Cambria Math" w:cs="Cambria"/>
            </w:rPr>
            <m:t>3OCH-CH</m:t>
          </m:r>
          <m:sSub>
            <m:sSubPr>
              <m:ctrlPr>
                <w:rPr>
                  <w:rFonts w:ascii="Cambria Math" w:hAnsi="Cambria Math" w:cs="Cambria"/>
                  <w:i/>
                </w:rPr>
              </m:ctrlPr>
            </m:sSubPr>
            <m:e>
              <m:r>
                <w:rPr>
                  <w:rFonts w:ascii="Cambria Math" w:hAnsi="Cambria Math" w:cs="Cambria"/>
                </w:rPr>
                <m:t>O</m:t>
              </m:r>
            </m:e>
            <m:sub>
              <m:d>
                <m:dPr>
                  <m:ctrlPr>
                    <w:rPr>
                      <w:rFonts w:ascii="Cambria Math" w:hAnsi="Cambria Math" w:cs="Cambria"/>
                      <w:i/>
                    </w:rPr>
                  </m:ctrlPr>
                </m:dPr>
                <m:e>
                  <m:r>
                    <w:rPr>
                      <w:rFonts w:ascii="Cambria Math" w:hAnsi="Cambria Math" w:cs="Cambria"/>
                    </w:rPr>
                    <m:t>aq</m:t>
                  </m:r>
                </m:e>
              </m:d>
            </m:sub>
          </m:sSub>
          <m:r>
            <w:rPr>
              <w:rFonts w:ascii="Cambria Math" w:hAnsi="Cambria Math" w:cs="Cambria"/>
            </w:rPr>
            <m:t>+4MnO</m:t>
          </m:r>
          <m:sSub>
            <m:sSubPr>
              <m:ctrlPr>
                <w:rPr>
                  <w:rFonts w:ascii="Cambria Math" w:hAnsi="Cambria Math" w:cs="Cambria"/>
                  <w:i/>
                </w:rPr>
              </m:ctrlPr>
            </m:sSubPr>
            <m:e>
              <m:d>
                <m:dPr>
                  <m:ctrlPr>
                    <w:rPr>
                      <w:rFonts w:ascii="Cambria Math" w:hAnsi="Cambria Math" w:cs="Cambria"/>
                      <w:i/>
                    </w:rPr>
                  </m:ctrlPr>
                </m:dPr>
                <m:e>
                  <m:r>
                    <w:rPr>
                      <w:rFonts w:ascii="Cambria Math" w:hAnsi="Cambria Math" w:cs="Cambria"/>
                    </w:rPr>
                    <m:t>OH</m:t>
                  </m:r>
                </m:e>
              </m:d>
            </m:e>
            <m:sub>
              <m:r>
                <w:rPr>
                  <w:rFonts w:ascii="Cambria Math" w:hAnsi="Cambria Math" w:cs="Cambria"/>
                </w:rPr>
                <m:t>2(s)</m:t>
              </m:r>
            </m:sub>
          </m:sSub>
          <m:r>
            <w:rPr>
              <w:rFonts w:ascii="Cambria Math" w:hAnsi="Cambria Math" w:cs="Cambria"/>
            </w:rPr>
            <m:t>+4O</m:t>
          </m:r>
          <m:sSubSup>
            <m:sSubSupPr>
              <m:ctrlPr>
                <w:rPr>
                  <w:rFonts w:ascii="Cambria Math" w:eastAsiaTheme="minorEastAsia" w:hAnsi="Cambria Math"/>
                  <w:i/>
                </w:rPr>
              </m:ctrlPr>
            </m:sSubSupPr>
            <m:e>
              <m:r>
                <w:rPr>
                  <w:rFonts w:ascii="Cambria Math" w:hAnsi="Cambria Math" w:cs="Cambria"/>
                </w:rPr>
                <m:t>H</m:t>
              </m:r>
              <m:ctrlPr>
                <w:rPr>
                  <w:rFonts w:ascii="Cambria Math" w:hAnsi="Cambria Math" w:cs="Cambria"/>
                  <w:i/>
                </w:rPr>
              </m:ctrlPr>
            </m:e>
            <m:sub>
              <m:d>
                <m:dPr>
                  <m:ctrlPr>
                    <w:rPr>
                      <w:rFonts w:ascii="Cambria Math" w:eastAsiaTheme="minorEastAsia" w:hAnsi="Cambria Math"/>
                      <w:i/>
                    </w:rPr>
                  </m:ctrlPr>
                </m:dPr>
                <m:e>
                  <m:r>
                    <w:rPr>
                      <w:rFonts w:ascii="Cambria Math" w:eastAsiaTheme="minorEastAsia" w:hAnsi="Cambria Math"/>
                    </w:rPr>
                    <m:t>aq</m:t>
                  </m:r>
                </m:e>
              </m:d>
              <m:ctrlPr>
                <w:rPr>
                  <w:rFonts w:ascii="Cambria Math" w:hAnsi="Cambria Math" w:cs="Cambria"/>
                  <w:i/>
                </w:rPr>
              </m:ctrlPr>
            </m:sub>
            <m:sup>
              <m:r>
                <w:rPr>
                  <w:rFonts w:ascii="Cambria Math" w:hAnsi="Cambria Math" w:cs="Cambria"/>
                </w:rPr>
                <m:t>-</m:t>
              </m:r>
              <m:ctrlPr>
                <w:rPr>
                  <w:rFonts w:ascii="Cambria Math" w:hAnsi="Cambria Math" w:cs="Cambria"/>
                  <w:i/>
                </w:rPr>
              </m:ctrlPr>
            </m:sup>
          </m:sSubSup>
        </m:oMath>
      </m:oMathPara>
    </w:p>
    <w:p w:rsidR="00562499" w:rsidRDefault="00562499" w:rsidP="00562499">
      <w:pPr>
        <w:ind w:left="2124"/>
      </w:pPr>
      <w:r>
        <w:lastRenderedPageBreak/>
        <w:t>2. Das Brom wird in einer elektrophilen Addition an das Ethin addiert. Die Reaktion verläuft jedoch im Vergleich zu Ethin weniger eindeutig und viel langsamer. Dies beruht auf der stärkeren Elektronegativität der Kohlen</w:t>
      </w:r>
      <w:r>
        <w:t>s</w:t>
      </w:r>
      <w:r>
        <w:t>toffatome im Ethin. Sie geben deshalb nicht so schnell Elektronen an elektrophile Substanzen wie das partiell positive Brom ab.</w:t>
      </w:r>
    </w:p>
    <w:p w:rsidR="00562499" w:rsidRPr="002C2000" w:rsidRDefault="00562499" w:rsidP="00562499">
      <w:pPr>
        <w:rPr>
          <w:oMath/>
          <w:rFonts w:ascii="Cambria Math" w:hAnsi="Cambria Math"/>
        </w:rPr>
      </w:pPr>
      <m:oMathPara>
        <m:oMath>
          <m:r>
            <w:rPr>
              <w:rFonts w:ascii="Cambria Math" w:hAnsi="Cambria Math"/>
            </w:rPr>
            <m:t>HC≡C</m:t>
          </m:r>
          <m:sSub>
            <m:sSubPr>
              <m:ctrlPr>
                <w:rPr>
                  <w:rFonts w:ascii="Cambria Math" w:hAnsi="Cambria Math"/>
                  <w:i/>
                </w:rPr>
              </m:ctrlPr>
            </m:sSubPr>
            <m:e>
              <m:r>
                <w:rPr>
                  <w:rFonts w:ascii="Cambria Math" w:hAnsi="Cambria Math"/>
                </w:rPr>
                <m:t>H</m:t>
              </m:r>
            </m:e>
            <m:sub>
              <m:d>
                <m:dPr>
                  <m:ctrlPr>
                    <w:rPr>
                      <w:rFonts w:ascii="Cambria Math" w:hAnsi="Cambria Math"/>
                      <w:i/>
                    </w:rPr>
                  </m:ctrlPr>
                </m:dPr>
                <m:e>
                  <m:r>
                    <w:rPr>
                      <w:rFonts w:ascii="Cambria Math" w:hAnsi="Cambria Math"/>
                    </w:rPr>
                    <m:t>g</m:t>
                  </m:r>
                </m:e>
              </m:d>
            </m:sub>
          </m:sSub>
          <m:r>
            <w:rPr>
              <w:rFonts w:ascii="Cambria Math" w:hAnsi="Cambria Math"/>
            </w:rPr>
            <m:t>+2B</m:t>
          </m:r>
          <m:sSub>
            <m:sSubPr>
              <m:ctrlPr>
                <w:rPr>
                  <w:rFonts w:ascii="Cambria Math" w:hAnsi="Cambria Math"/>
                  <w:i/>
                </w:rPr>
              </m:ctrlPr>
            </m:sSubPr>
            <m:e>
              <m:r>
                <w:rPr>
                  <w:rFonts w:ascii="Cambria Math" w:hAnsi="Cambria Math"/>
                </w:rPr>
                <m:t>r</m:t>
              </m:r>
            </m:e>
            <m:sub>
              <m:r>
                <w:rPr>
                  <w:rFonts w:ascii="Cambria Math" w:hAnsi="Cambria Math"/>
                </w:rPr>
                <m:t>2(aq)</m:t>
              </m:r>
            </m:sub>
          </m:sSub>
          <m:r>
            <w:rPr>
              <w:rFonts w:ascii="Cambria Math" w:hAnsi="Cambria Math" w:cs="Times New Roman"/>
            </w:rPr>
            <m:t>→</m:t>
          </m:r>
          <m:r>
            <w:rPr>
              <w:rFonts w:ascii="Cambria Math" w:hAnsi="Cambria Math" w:cs="Cambria"/>
            </w:rPr>
            <m:t>HB</m:t>
          </m:r>
          <m:sSub>
            <m:sSubPr>
              <m:ctrlPr>
                <w:rPr>
                  <w:rFonts w:ascii="Cambria Math" w:hAnsi="Cambria Math" w:cs="Cambria"/>
                  <w:i/>
                </w:rPr>
              </m:ctrlPr>
            </m:sSubPr>
            <m:e>
              <m:r>
                <w:rPr>
                  <w:rFonts w:ascii="Cambria Math" w:hAnsi="Cambria Math" w:cs="Cambria"/>
                </w:rPr>
                <m:t>r</m:t>
              </m:r>
            </m:e>
            <m:sub>
              <m:r>
                <w:rPr>
                  <w:rFonts w:ascii="Cambria Math" w:hAnsi="Cambria Math" w:cs="Cambria"/>
                </w:rPr>
                <m:t>2</m:t>
              </m:r>
            </m:sub>
          </m:sSub>
          <m:r>
            <w:rPr>
              <w:rFonts w:ascii="Cambria Math" w:hAnsi="Cambria Math" w:cs="Cambria"/>
            </w:rPr>
            <m:t>C-CB</m:t>
          </m:r>
          <m:sSub>
            <m:sSubPr>
              <m:ctrlPr>
                <w:rPr>
                  <w:rFonts w:ascii="Cambria Math" w:hAnsi="Cambria Math" w:cs="Cambria"/>
                  <w:i/>
                </w:rPr>
              </m:ctrlPr>
            </m:sSubPr>
            <m:e>
              <m:r>
                <w:rPr>
                  <w:rFonts w:ascii="Cambria Math" w:hAnsi="Cambria Math" w:cs="Cambria"/>
                </w:rPr>
                <m:t>r</m:t>
              </m:r>
            </m:e>
            <m:sub>
              <m:r>
                <w:rPr>
                  <w:rFonts w:ascii="Cambria Math" w:hAnsi="Cambria Math" w:cs="Cambria"/>
                </w:rPr>
                <m:t>2</m:t>
              </m:r>
            </m:sub>
          </m:sSub>
          <m:sSub>
            <m:sSubPr>
              <m:ctrlPr>
                <w:rPr>
                  <w:rFonts w:ascii="Cambria Math" w:hAnsi="Cambria Math" w:cs="Cambria"/>
                  <w:i/>
                </w:rPr>
              </m:ctrlPr>
            </m:sSubPr>
            <m:e>
              <m:r>
                <w:rPr>
                  <w:rFonts w:ascii="Cambria Math" w:hAnsi="Cambria Math" w:cs="Cambria"/>
                </w:rPr>
                <m:t>H</m:t>
              </m:r>
            </m:e>
            <m:sub>
              <m:d>
                <m:dPr>
                  <m:ctrlPr>
                    <w:rPr>
                      <w:rFonts w:ascii="Cambria Math" w:hAnsi="Cambria Math" w:cs="Cambria"/>
                      <w:i/>
                    </w:rPr>
                  </m:ctrlPr>
                </m:dPr>
                <m:e>
                  <m:r>
                    <w:rPr>
                      <w:rFonts w:ascii="Cambria Math" w:hAnsi="Cambria Math" w:cs="Cambria"/>
                    </w:rPr>
                    <m:t>aq</m:t>
                  </m:r>
                </m:e>
              </m:d>
              <m:ctrlPr>
                <w:rPr>
                  <w:rFonts w:ascii="Cambria Math" w:hAnsi="Cambria Math"/>
                  <w:i/>
                </w:rPr>
              </m:ctrlPr>
            </m:sub>
          </m:sSub>
        </m:oMath>
      </m:oMathPara>
    </w:p>
    <w:p w:rsidR="00562499" w:rsidRDefault="00562499" w:rsidP="00562499">
      <w:pPr>
        <w:ind w:left="2124"/>
      </w:pPr>
      <w:r>
        <w:t>3. Das Ethin wird vom umgebenden Luftsauerstoff oxidiert und rußt d</w:t>
      </w:r>
      <w:r>
        <w:t>a</w:t>
      </w:r>
      <w:r>
        <w:t>bei sehr stark. Unter idealen Umständen lautet die Reaktionsgleichung wie folgt.</w:t>
      </w:r>
    </w:p>
    <w:p w:rsidR="00562499" w:rsidRDefault="00562499" w:rsidP="00562499">
      <w:pPr>
        <w:rPr>
          <w:rFonts w:eastAsiaTheme="minorEastAsia"/>
        </w:rPr>
      </w:pPr>
      <m:oMathPara>
        <m:oMath>
          <m:r>
            <w:rPr>
              <w:rFonts w:ascii="Cambria Math" w:hAnsi="Cambria Math"/>
            </w:rPr>
            <m:t>2</m:t>
          </m:r>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2(g)</m:t>
              </m:r>
            </m:sub>
          </m:sSub>
          <m:r>
            <w:rPr>
              <w:rFonts w:ascii="Cambria Math" w:hAnsi="Cambria Math"/>
            </w:rPr>
            <m:t>+</m:t>
          </m:r>
          <m:sSub>
            <m:sSubPr>
              <m:ctrlPr>
                <w:rPr>
                  <w:rFonts w:ascii="Cambria Math" w:hAnsi="Cambria Math"/>
                  <w:i/>
                </w:rPr>
              </m:ctrlPr>
            </m:sSubPr>
            <m:e>
              <m:r>
                <w:rPr>
                  <w:rFonts w:ascii="Cambria Math" w:hAnsi="Cambria Math"/>
                </w:rPr>
                <m:t>5O</m:t>
              </m:r>
            </m:e>
            <m:sub>
              <m:r>
                <w:rPr>
                  <w:rFonts w:ascii="Cambria Math" w:hAnsi="Cambria Math"/>
                </w:rPr>
                <m:t>2(g)</m:t>
              </m:r>
            </m:sub>
          </m:sSub>
          <m:r>
            <w:rPr>
              <w:rFonts w:ascii="Cambria Math" w:hAnsi="Cambria Math" w:cs="Times New Roman"/>
            </w:rPr>
            <m:t>→</m:t>
          </m:r>
          <m:r>
            <w:rPr>
              <w:rFonts w:ascii="Cambria Math" w:hAnsi="Cambria Math" w:cs="Cambria"/>
            </w:rPr>
            <m:t>4C</m:t>
          </m:r>
          <m:sSub>
            <m:sSubPr>
              <m:ctrlPr>
                <w:rPr>
                  <w:rFonts w:ascii="Cambria Math" w:hAnsi="Cambria Math" w:cs="Cambria"/>
                  <w:i/>
                </w:rPr>
              </m:ctrlPr>
            </m:sSubPr>
            <m:e>
              <m:r>
                <w:rPr>
                  <w:rFonts w:ascii="Cambria Math" w:hAnsi="Cambria Math" w:cs="Cambria"/>
                </w:rPr>
                <m:t>O</m:t>
              </m:r>
            </m:e>
            <m:sub>
              <m:r>
                <w:rPr>
                  <w:rFonts w:ascii="Cambria Math" w:hAnsi="Cambria Math" w:cs="Cambria"/>
                </w:rPr>
                <m:t>2(g)</m:t>
              </m:r>
            </m:sub>
          </m:sSub>
          <m:r>
            <w:rPr>
              <w:rFonts w:ascii="Cambria Math" w:hAnsi="Cambria Math" w:cs="Cambria"/>
            </w:rPr>
            <m:t>+</m:t>
          </m:r>
          <m:sSub>
            <m:sSubPr>
              <m:ctrlPr>
                <w:rPr>
                  <w:rFonts w:ascii="Cambria Math" w:hAnsi="Cambria Math" w:cs="Cambria"/>
                  <w:i/>
                </w:rPr>
              </m:ctrlPr>
            </m:sSubPr>
            <m:e>
              <m:r>
                <w:rPr>
                  <w:rFonts w:ascii="Cambria Math" w:hAnsi="Cambria Math" w:cs="Cambria"/>
                </w:rPr>
                <m:t>2H</m:t>
              </m:r>
            </m:e>
            <m:sub>
              <m:r>
                <w:rPr>
                  <w:rFonts w:ascii="Cambria Math" w:hAnsi="Cambria Math" w:cs="Cambria"/>
                </w:rPr>
                <m:t>2</m:t>
              </m:r>
            </m:sub>
          </m:sSub>
          <m:sSub>
            <m:sSubPr>
              <m:ctrlPr>
                <w:rPr>
                  <w:rFonts w:ascii="Cambria Math" w:hAnsi="Cambria Math" w:cs="Cambria"/>
                  <w:i/>
                </w:rPr>
              </m:ctrlPr>
            </m:sSubPr>
            <m:e>
              <m:r>
                <w:rPr>
                  <w:rFonts w:ascii="Cambria Math" w:hAnsi="Cambria Math" w:cs="Cambria"/>
                </w:rPr>
                <m:t>O</m:t>
              </m:r>
            </m:e>
            <m:sub>
              <m:d>
                <m:dPr>
                  <m:ctrlPr>
                    <w:rPr>
                      <w:rFonts w:ascii="Cambria Math" w:hAnsi="Cambria Math" w:cs="Cambria"/>
                      <w:i/>
                    </w:rPr>
                  </m:ctrlPr>
                </m:dPr>
                <m:e>
                  <m:r>
                    <w:rPr>
                      <w:rFonts w:ascii="Cambria Math" w:hAnsi="Cambria Math" w:cs="Cambria"/>
                    </w:rPr>
                    <m:t>l</m:t>
                  </m:r>
                </m:e>
              </m:d>
              <m:ctrlPr>
                <w:rPr>
                  <w:rFonts w:ascii="Cambria Math" w:eastAsiaTheme="minorEastAsia" w:hAnsi="Cambria Math"/>
                  <w:i/>
                </w:rPr>
              </m:ctrlPr>
            </m:sub>
          </m:sSub>
        </m:oMath>
      </m:oMathPara>
    </w:p>
    <w:p w:rsidR="00562499" w:rsidRDefault="00562499" w:rsidP="00562499">
      <w:pPr>
        <w:ind w:left="1416" w:firstLine="708"/>
        <w:rPr>
          <w:rFonts w:eastAsiaTheme="minorEastAsia"/>
        </w:rPr>
      </w:pPr>
      <w:r>
        <w:rPr>
          <w:rFonts w:eastAsiaTheme="minorEastAsia"/>
          <w:noProof/>
          <w:lang w:eastAsia="de-DE"/>
        </w:rPr>
        <w:drawing>
          <wp:anchor distT="0" distB="0" distL="114300" distR="114300" simplePos="0" relativeHeight="251663360" behindDoc="0" locked="0" layoutInCell="1" allowOverlap="1">
            <wp:simplePos x="0" y="0"/>
            <wp:positionH relativeFrom="column">
              <wp:posOffset>3112770</wp:posOffset>
            </wp:positionH>
            <wp:positionV relativeFrom="paragraph">
              <wp:posOffset>422275</wp:posOffset>
            </wp:positionV>
            <wp:extent cx="2922270" cy="1647190"/>
            <wp:effectExtent l="19050" t="0" r="0" b="0"/>
            <wp:wrapSquare wrapText="bothSides"/>
            <wp:docPr id="114" name="Bild 11" descr="C:\Users\Till\Desktop\2013-08-06 15.2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ill\Desktop\2013-08-06 15.21.39.jpg"/>
                    <pic:cNvPicPr>
                      <a:picLocks noChangeAspect="1" noChangeArrowheads="1"/>
                    </pic:cNvPicPr>
                  </pic:nvPicPr>
                  <pic:blipFill>
                    <a:blip r:embed="rId17" cstate="print"/>
                    <a:srcRect/>
                    <a:stretch>
                      <a:fillRect/>
                    </a:stretch>
                  </pic:blipFill>
                  <pic:spPr bwMode="auto">
                    <a:xfrm>
                      <a:off x="0" y="0"/>
                      <a:ext cx="2922270" cy="1647190"/>
                    </a:xfrm>
                    <a:prstGeom prst="rect">
                      <a:avLst/>
                    </a:prstGeom>
                    <a:noFill/>
                    <a:ln w="9525">
                      <a:noFill/>
                      <a:miter lim="800000"/>
                      <a:headEnd/>
                      <a:tailEnd/>
                    </a:ln>
                  </pic:spPr>
                </pic:pic>
              </a:graphicData>
            </a:graphic>
          </wp:anchor>
        </w:drawing>
      </w:r>
      <w:r>
        <w:rPr>
          <w:rFonts w:eastAsiaTheme="minorEastAsia"/>
          <w:noProof/>
          <w:lang w:eastAsia="de-DE"/>
        </w:rPr>
        <w:drawing>
          <wp:anchor distT="0" distB="0" distL="114300" distR="114300" simplePos="0" relativeHeight="251664384" behindDoc="0" locked="0" layoutInCell="1" allowOverlap="1">
            <wp:simplePos x="0" y="0"/>
            <wp:positionH relativeFrom="column">
              <wp:posOffset>15875</wp:posOffset>
            </wp:positionH>
            <wp:positionV relativeFrom="paragraph">
              <wp:posOffset>422275</wp:posOffset>
            </wp:positionV>
            <wp:extent cx="2910205" cy="1647190"/>
            <wp:effectExtent l="19050" t="0" r="4445" b="0"/>
            <wp:wrapSquare wrapText="bothSides"/>
            <wp:docPr id="115" name="Bild 12" descr="C:\Users\Till\Desktop\2013-08-07 12.5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ill\Desktop\2013-08-07 12.54.44.jpg"/>
                    <pic:cNvPicPr>
                      <a:picLocks noChangeAspect="1" noChangeArrowheads="1"/>
                    </pic:cNvPicPr>
                  </pic:nvPicPr>
                  <pic:blipFill>
                    <a:blip r:embed="rId18" cstate="print"/>
                    <a:srcRect/>
                    <a:stretch>
                      <a:fillRect/>
                    </a:stretch>
                  </pic:blipFill>
                  <pic:spPr bwMode="auto">
                    <a:xfrm>
                      <a:off x="0" y="0"/>
                      <a:ext cx="2910205" cy="1647190"/>
                    </a:xfrm>
                    <a:prstGeom prst="rect">
                      <a:avLst/>
                    </a:prstGeom>
                    <a:noFill/>
                    <a:ln w="9525">
                      <a:noFill/>
                      <a:miter lim="800000"/>
                      <a:headEnd/>
                      <a:tailEnd/>
                    </a:ln>
                  </pic:spPr>
                </pic:pic>
              </a:graphicData>
            </a:graphic>
          </wp:anchor>
        </w:drawing>
      </w:r>
      <w:r>
        <w:rPr>
          <w:rFonts w:eastAsiaTheme="minorEastAsia"/>
        </w:rPr>
        <w:t>Das starke Rußen entsteht durch eine unvollständige Verbrennung.</w:t>
      </w:r>
    </w:p>
    <w:p w:rsidR="00562499" w:rsidRDefault="00562499" w:rsidP="00562499">
      <w:pPr>
        <w:ind w:left="1416" w:firstLine="708"/>
        <w:rPr>
          <w:rFonts w:eastAsiaTheme="minorEastAsia"/>
        </w:rPr>
      </w:pPr>
      <w:r>
        <w:rPr>
          <w:rFonts w:eastAsiaTheme="minorEastAsia"/>
          <w:noProof/>
          <w:lang w:eastAsia="de-DE"/>
        </w:rPr>
        <w:pict>
          <v:shape id="_x0000_s1065" type="#_x0000_t202" style="position:absolute;left:0;text-align:left;margin-left:2.4pt;margin-top:141.8pt;width:476.25pt;height:44.85pt;z-index:251665408;mso-width-relative:margin;mso-height-relative:margin" strokecolor="white [3212]">
            <v:textbox>
              <w:txbxContent>
                <w:p w:rsidR="00562499" w:rsidRPr="006C71AD" w:rsidRDefault="00562499" w:rsidP="00562499">
                  <w:r>
                    <w:t>Abb5. – links BAYERS Reagenz mit (r) und ohne (l) Ethin, rechts: Bromwasser mit (r) und ohne (l) Ethin</w:t>
                  </w:r>
                </w:p>
              </w:txbxContent>
            </v:textbox>
          </v:shape>
        </w:pict>
      </w:r>
    </w:p>
    <w:p w:rsidR="00562499" w:rsidRDefault="00562499" w:rsidP="00562499">
      <w:pPr>
        <w:ind w:left="1416" w:firstLine="708"/>
        <w:rPr>
          <w:rFonts w:eastAsiaTheme="minorEastAsia"/>
        </w:rPr>
      </w:pPr>
    </w:p>
    <w:p w:rsidR="00562499" w:rsidRDefault="00562499" w:rsidP="00562499">
      <w:pPr>
        <w:ind w:left="1416" w:firstLine="708"/>
        <w:jc w:val="center"/>
        <w:rPr>
          <w:rFonts w:eastAsiaTheme="minorEastAsia"/>
        </w:rPr>
      </w:pPr>
      <w:r>
        <w:rPr>
          <w:rFonts w:eastAsiaTheme="minorEastAsia"/>
          <w:noProof/>
          <w:lang w:eastAsia="de-DE"/>
        </w:rPr>
        <w:pict>
          <v:shape id="_x0000_s1066" type="#_x0000_t202" style="position:absolute;left:0;text-align:left;margin-left:-5.3pt;margin-top:241.6pt;width:476.25pt;height:44.85pt;z-index:251666432;mso-width-relative:margin;mso-height-relative:margin" strokecolor="white [3212]">
            <v:textbox>
              <w:txbxContent>
                <w:p w:rsidR="00562499" w:rsidRPr="006C71AD" w:rsidRDefault="00562499" w:rsidP="00562499">
                  <w:pPr>
                    <w:jc w:val="center"/>
                  </w:pPr>
                  <w:r>
                    <w:t xml:space="preserve">                         Abb6. – Die Verbrennung von Ethin</w:t>
                  </w:r>
                </w:p>
              </w:txbxContent>
            </v:textbox>
          </v:shape>
        </w:pict>
      </w:r>
      <w:r>
        <w:rPr>
          <w:rFonts w:eastAsiaTheme="minorEastAsia"/>
          <w:noProof/>
          <w:lang w:eastAsia="de-DE"/>
        </w:rPr>
        <w:drawing>
          <wp:inline distT="0" distB="0" distL="0" distR="0">
            <wp:extent cx="1707735" cy="3019245"/>
            <wp:effectExtent l="19050" t="0" r="6765" b="0"/>
            <wp:docPr id="116" name="Bild 13" descr="C:\Users\Till\Desktop\2013-08-06 15.1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ill\Desktop\2013-08-06 15.13.25.jpg"/>
                    <pic:cNvPicPr>
                      <a:picLocks noChangeAspect="1" noChangeArrowheads="1"/>
                    </pic:cNvPicPr>
                  </pic:nvPicPr>
                  <pic:blipFill>
                    <a:blip r:embed="rId19" cstate="print"/>
                    <a:srcRect/>
                    <a:stretch>
                      <a:fillRect/>
                    </a:stretch>
                  </pic:blipFill>
                  <pic:spPr bwMode="auto">
                    <a:xfrm>
                      <a:off x="0" y="0"/>
                      <a:ext cx="1708324" cy="3020287"/>
                    </a:xfrm>
                    <a:prstGeom prst="rect">
                      <a:avLst/>
                    </a:prstGeom>
                    <a:noFill/>
                    <a:ln w="9525">
                      <a:noFill/>
                      <a:miter lim="800000"/>
                      <a:headEnd/>
                      <a:tailEnd/>
                    </a:ln>
                  </pic:spPr>
                </pic:pic>
              </a:graphicData>
            </a:graphic>
          </wp:inline>
        </w:drawing>
      </w:r>
    </w:p>
    <w:p w:rsidR="00562499" w:rsidRDefault="00562499" w:rsidP="00562499">
      <w:pPr>
        <w:ind w:left="1416" w:firstLine="708"/>
        <w:jc w:val="center"/>
        <w:rPr>
          <w:rFonts w:eastAsiaTheme="minorEastAsia"/>
        </w:rPr>
      </w:pPr>
    </w:p>
    <w:p w:rsidR="00562499" w:rsidRPr="00282378" w:rsidRDefault="00562499" w:rsidP="00562499">
      <w:pPr>
        <w:ind w:left="1416" w:firstLine="708"/>
        <w:rPr>
          <w:rFonts w:eastAsiaTheme="minorEastAsia"/>
        </w:rPr>
      </w:pPr>
    </w:p>
    <w:p w:rsidR="00562499" w:rsidRDefault="00562499" w:rsidP="00562499">
      <w:pPr>
        <w:ind w:left="2124" w:hanging="2124"/>
      </w:pPr>
      <w:r>
        <w:t>Entsorgung:</w:t>
      </w:r>
      <w:r>
        <w:tab/>
        <w:t>zu1.: Ethin wird durch Abbrennen im Abzug entsorgt und die Reste von BAYERS Reagenz werden mit schwefeliger Säure versetzt und über das Abwasser entsorgen.</w:t>
      </w:r>
    </w:p>
    <w:p w:rsidR="00562499" w:rsidRDefault="00562499" w:rsidP="00562499">
      <w:pPr>
        <w:ind w:left="2124" w:hanging="2124"/>
      </w:pPr>
      <w:r>
        <w:tab/>
        <w:t xml:space="preserve">Zu2.: </w:t>
      </w:r>
      <w:r w:rsidRPr="00264933">
        <w:t xml:space="preserve">Die Lösung zweimal mit 0,5 mL Diethylether versetzen, schütteln und die etherische Lösung </w:t>
      </w:r>
      <w:r>
        <w:t>in dem</w:t>
      </w:r>
      <w:r w:rsidRPr="00264933">
        <w:t xml:space="preserve"> Sammelbehälter für halogenhaltige o</w:t>
      </w:r>
      <w:r w:rsidRPr="00264933">
        <w:t>r</w:t>
      </w:r>
      <w:r w:rsidRPr="00264933">
        <w:t>ganische Abfälle</w:t>
      </w:r>
      <w:r>
        <w:t xml:space="preserve"> entsorgen</w:t>
      </w:r>
      <w:r w:rsidRPr="00264933">
        <w:t>.</w:t>
      </w:r>
      <w:r>
        <w:t xml:space="preserve"> Die wässrige Phase kann über dem Ausguss entsorgt werden.</w:t>
      </w:r>
    </w:p>
    <w:p w:rsidR="00562499" w:rsidRDefault="00562499" w:rsidP="00562499">
      <w:pPr>
        <w:ind w:left="2124"/>
      </w:pPr>
      <w:r>
        <w:t>zu3.:Der Ruß von den Zylinderwänden kann mit etwas Aceton sehr ei</w:t>
      </w:r>
      <w:r>
        <w:t>n</w:t>
      </w:r>
      <w:r>
        <w:t>fach entfernt werden. Mit viel Wasser im Ausguss nachspülen</w:t>
      </w:r>
    </w:p>
    <w:p w:rsidR="00562499" w:rsidRDefault="00562499" w:rsidP="00562499">
      <w:pPr>
        <w:ind w:left="2124" w:hanging="2124"/>
      </w:pPr>
      <w:r>
        <w:t>Literatur:</w:t>
      </w:r>
      <w:r>
        <w:tab/>
        <w:t xml:space="preserve">[1] Prof. Dr. Blume 2002, Chemie mit Ethin, </w:t>
      </w:r>
      <w:r w:rsidRPr="00AD50E6">
        <w:t>http://www.chemieunterricht.de/dc2/tip/03_02.htm</w:t>
      </w:r>
      <w:r>
        <w:t>, zuletzt abgerufen am 07.08.2013</w:t>
      </w:r>
    </w:p>
    <w:p w:rsidR="00C31120" w:rsidRPr="00562499" w:rsidRDefault="00562499" w:rsidP="00562499">
      <w:pPr>
        <w:ind w:left="2124"/>
      </w:pPr>
      <w:r>
        <w:rPr>
          <w:noProof/>
        </w:rPr>
        <w:pict>
          <v:shape id="_x0000_s1064" type="#_x0000_t202" style="position:absolute;left:0;text-align:left;margin-left:0;margin-top:50.35pt;width:455.15pt;height:118.45pt;z-index:251662336;mso-position-horizontal:center;mso-width-relative:margin;mso-height-relative:margin" strokecolor="#c0504d [3205]">
            <v:stroke dashstyle="dash"/>
            <v:textbox>
              <w:txbxContent>
                <w:p w:rsidR="00562499" w:rsidRDefault="00562499" w:rsidP="00562499">
                  <w:r>
                    <w:t>Die SuS sollen Anhand der Nachweisreaktion mit Brom eine Dreifachbindung als reaktives Zentrum kennen und verstehen lernen. Ein weiteres Lernziel sollte der Mechanismus der elektrophilen Addition sein. Mit der BAYER Reagenz lernen die SuS eine weitere wichtige Nachweisreaktion der Dreifachbindung kennen.</w:t>
                  </w:r>
                </w:p>
                <w:p w:rsidR="00562499" w:rsidRDefault="00562499" w:rsidP="00562499">
                  <w:r>
                    <w:t>Da mit Gasen und Bromwasser experimentiert wird, ist unter dem Abzug zu arbeiten.</w:t>
                  </w:r>
                </w:p>
              </w:txbxContent>
            </v:textbox>
            <w10:wrap type="square"/>
          </v:shape>
        </w:pict>
      </w:r>
      <w:r>
        <w:t>[2</w:t>
      </w:r>
      <w:r w:rsidRPr="000708A2">
        <w:t>] Hans Keune und Manfred Just 1999, Chemische Schulexperimente – Band 2 Organsiche Che</w:t>
      </w:r>
      <w:r>
        <w:t>mie, S. 67-68</w:t>
      </w:r>
    </w:p>
    <w:sectPr w:rsidR="00C31120" w:rsidRPr="00562499" w:rsidSect="00C31120">
      <w:headerReference w:type="default" r:id="rId2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80C" w:rsidRDefault="00B5780C" w:rsidP="0007623E">
      <w:pPr>
        <w:spacing w:after="0" w:line="240" w:lineRule="auto"/>
      </w:pPr>
      <w:r>
        <w:separator/>
      </w:r>
    </w:p>
  </w:endnote>
  <w:endnote w:type="continuationSeparator" w:id="1">
    <w:p w:rsidR="00B5780C" w:rsidRDefault="00B5780C" w:rsidP="00076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80C" w:rsidRDefault="00B5780C" w:rsidP="0007623E">
      <w:pPr>
        <w:spacing w:after="0" w:line="240" w:lineRule="auto"/>
      </w:pPr>
      <w:r>
        <w:separator/>
      </w:r>
    </w:p>
  </w:footnote>
  <w:footnote w:type="continuationSeparator" w:id="1">
    <w:p w:rsidR="00B5780C" w:rsidRDefault="00B5780C" w:rsidP="000762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3E" w:rsidRDefault="00FF6BA7">
    <w:pPr>
      <w:pStyle w:val="Kopfzeile"/>
    </w:pPr>
    <w:r>
      <w:t>V</w:t>
    </w:r>
    <w:r w:rsidR="00562499">
      <w:t>5</w:t>
    </w:r>
    <w:r w:rsidR="002A3072">
      <w:t xml:space="preserve"> - </w:t>
    </w:r>
    <w:r w:rsidR="00562499">
      <w:t>Reaktionen des Ethi</w:t>
    </w:r>
    <w:r w:rsidR="0079054D">
      <w:t>ns</w:t>
    </w:r>
    <w:r w:rsidR="0096712D">
      <w:tab/>
    </w:r>
    <w:r w:rsidR="0096712D">
      <w:tab/>
    </w:r>
    <w:r w:rsidR="0096712D">
      <w:tab/>
    </w:r>
    <w:fldSimple w:instr=" PAGE   \* MERGEFORMAT ">
      <w:r w:rsidR="00562499">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7623E"/>
    <w:rsid w:val="0007623E"/>
    <w:rsid w:val="002455D9"/>
    <w:rsid w:val="002A3072"/>
    <w:rsid w:val="002E5E80"/>
    <w:rsid w:val="004A194E"/>
    <w:rsid w:val="00562499"/>
    <w:rsid w:val="00622542"/>
    <w:rsid w:val="0079054D"/>
    <w:rsid w:val="008A594E"/>
    <w:rsid w:val="0096712D"/>
    <w:rsid w:val="0098440F"/>
    <w:rsid w:val="009A7400"/>
    <w:rsid w:val="009E15E9"/>
    <w:rsid w:val="00A935F2"/>
    <w:rsid w:val="00B5780C"/>
    <w:rsid w:val="00BA4141"/>
    <w:rsid w:val="00C31120"/>
    <w:rsid w:val="00D51A2B"/>
    <w:rsid w:val="00E113F3"/>
    <w:rsid w:val="00E743BB"/>
    <w:rsid w:val="00EA45ED"/>
    <w:rsid w:val="00F4108B"/>
    <w:rsid w:val="00FF6BA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623E"/>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7623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7623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7623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7623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7623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7623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7623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7623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7623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623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7623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7623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7623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7623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7623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7623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7623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7623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7623E"/>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7623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623E"/>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0762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623E"/>
    <w:rPr>
      <w:rFonts w:ascii="Cambria" w:hAnsi="Cambria"/>
      <w:color w:val="1D1B11" w:themeColor="background2" w:themeShade="1A"/>
    </w:rPr>
  </w:style>
  <w:style w:type="paragraph" w:styleId="Fuzeile">
    <w:name w:val="footer"/>
    <w:basedOn w:val="Standard"/>
    <w:link w:val="FuzeileZchn"/>
    <w:uiPriority w:val="99"/>
    <w:semiHidden/>
    <w:unhideWhenUsed/>
    <w:rsid w:val="0007623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7623E"/>
    <w:rPr>
      <w:rFonts w:ascii="Cambria" w:hAnsi="Cambria"/>
      <w:color w:val="1D1B11" w:themeColor="background2" w:themeShade="1A"/>
    </w:rPr>
  </w:style>
  <w:style w:type="paragraph" w:styleId="Textkrper">
    <w:name w:val="Body Text"/>
    <w:basedOn w:val="Standard"/>
    <w:link w:val="TextkrperZchn"/>
    <w:rsid w:val="00E113F3"/>
    <w:pPr>
      <w:suppressAutoHyphens/>
      <w:spacing w:after="120"/>
    </w:pPr>
    <w:rPr>
      <w:rFonts w:eastAsia="Arial Unicode MS" w:cs="Calibri"/>
      <w:color w:val="1D1B11"/>
      <w:kern w:val="1"/>
    </w:rPr>
  </w:style>
  <w:style w:type="character" w:customStyle="1" w:styleId="TextkrperZchn">
    <w:name w:val="Textkörper Zchn"/>
    <w:basedOn w:val="Absatz-Standardschriftart"/>
    <w:link w:val="Textkrper"/>
    <w:rsid w:val="00E113F3"/>
    <w:rPr>
      <w:rFonts w:ascii="Cambria" w:eastAsia="Arial Unicode MS" w:hAnsi="Cambria" w:cs="Calibri"/>
      <w:color w:val="1D1B11"/>
      <w:kern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B7285-7A4B-4B92-86AB-DF02FA45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2246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Wuttke</dc:creator>
  <cp:lastModifiedBy>Axel Wuttke</cp:lastModifiedBy>
  <cp:revision>2</cp:revision>
  <dcterms:created xsi:type="dcterms:W3CDTF">2013-08-12T20:36:00Z</dcterms:created>
  <dcterms:modified xsi:type="dcterms:W3CDTF">2013-08-12T20:36:00Z</dcterms:modified>
</cp:coreProperties>
</file>