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9F" w:rsidRPr="003E7738" w:rsidRDefault="0025369F" w:rsidP="0025369F">
      <w:pPr>
        <w:pStyle w:val="berschrift1"/>
        <w:numPr>
          <w:ilvl w:val="0"/>
          <w:numId w:val="0"/>
        </w:numPr>
        <w:ind w:left="431" w:hanging="431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41F77" wp14:editId="1397FA77">
                <wp:simplePos x="0" y="0"/>
                <wp:positionH relativeFrom="column">
                  <wp:posOffset>116840</wp:posOffset>
                </wp:positionH>
                <wp:positionV relativeFrom="paragraph">
                  <wp:posOffset>571500</wp:posOffset>
                </wp:positionV>
                <wp:extent cx="5873115" cy="1292225"/>
                <wp:effectExtent l="0" t="0" r="13335" b="22225"/>
                <wp:wrapSquare wrapText="bothSides"/>
                <wp:docPr id="66" name="Textfeld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292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9F" w:rsidRPr="00F400AF" w:rsidRDefault="0025369F" w:rsidP="0025369F">
                            <w:pPr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7B79A5">
                              <w:rPr>
                                <w:color w:val="auto"/>
                              </w:rPr>
                              <w:t xml:space="preserve">In diesem Versuch </w:t>
                            </w:r>
                            <w:r>
                              <w:rPr>
                                <w:color w:val="auto"/>
                              </w:rPr>
                              <w:t>werden verschiedene Haare mit einem Färbemittel behandelt. Die Haare werden in diesem Versuch durch das Metallsalz Silbernitrat gefärbt.</w:t>
                            </w:r>
                            <w:r w:rsidRPr="007B79A5">
                              <w:rPr>
                                <w:color w:val="auto"/>
                              </w:rPr>
                              <w:t xml:space="preserve"> Die SuS müssen für di</w:t>
                            </w:r>
                            <w:r w:rsidRPr="007B79A5">
                              <w:rPr>
                                <w:color w:val="auto"/>
                              </w:rPr>
                              <w:t>e</w:t>
                            </w:r>
                            <w:r w:rsidRPr="007B79A5">
                              <w:rPr>
                                <w:color w:val="auto"/>
                              </w:rPr>
                              <w:t xml:space="preserve">sen Versuch wissen, dass </w:t>
                            </w:r>
                            <w:r>
                              <w:rPr>
                                <w:color w:val="auto"/>
                              </w:rPr>
                              <w:t>Pigmente in den Haaren für dessen Färbung verantwortlich sind. Auße</w:t>
                            </w:r>
                            <w:r>
                              <w:rPr>
                                <w:color w:val="auto"/>
                              </w:rPr>
                              <w:t>r</w:t>
                            </w:r>
                            <w:r>
                              <w:rPr>
                                <w:color w:val="auto"/>
                              </w:rPr>
                              <w:t>dem sollten sie wissen, dass es verschiedene Farbstoffe für die Haare, wie z. B. basische Far</w:t>
                            </w:r>
                            <w:r>
                              <w:rPr>
                                <w:color w:val="auto"/>
                              </w:rPr>
                              <w:t>b</w:t>
                            </w:r>
                            <w:r>
                              <w:rPr>
                                <w:color w:val="auto"/>
                              </w:rPr>
                              <w:t>stoffe, Nitrofarbstoffe oder Oxidationshaarfarben, gibt.</w:t>
                            </w:r>
                          </w:p>
                          <w:p w:rsidR="0025369F" w:rsidRPr="001B073E" w:rsidRDefault="0025369F" w:rsidP="0025369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6" o:spid="_x0000_s1026" type="#_x0000_t202" style="position:absolute;left:0;text-align:left;margin-left:9.2pt;margin-top:45pt;width:462.45pt;height:1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" strokecolor="#4bacc6" strokeweight="1pt">
                <v:stroke dashstyle="dash"/>
                <v:shadow color="#868686"/>
                <v:textbox>
                  <w:txbxContent>
                    <w:p w:rsidR="0025369F" w:rsidRPr="00F400AF" w:rsidRDefault="0025369F" w:rsidP="0025369F">
                      <w:pPr>
                        <w:rPr>
                          <w:rFonts w:ascii="Symbol" w:hAnsi="Symbol"/>
                          <w:color w:val="auto"/>
                        </w:rPr>
                      </w:pPr>
                      <w:r w:rsidRPr="007B79A5">
                        <w:rPr>
                          <w:color w:val="auto"/>
                        </w:rPr>
                        <w:t xml:space="preserve">In diesem Versuch </w:t>
                      </w:r>
                      <w:r>
                        <w:rPr>
                          <w:color w:val="auto"/>
                        </w:rPr>
                        <w:t>werden verschiedene Haare mit einem Färbemittel behandelt. Die Haare werden in diesem Versuch durch das Metallsalz Silbernitrat gefärbt.</w:t>
                      </w:r>
                      <w:r w:rsidRPr="007B79A5">
                        <w:rPr>
                          <w:color w:val="auto"/>
                        </w:rPr>
                        <w:t xml:space="preserve"> Die SuS müssen für di</w:t>
                      </w:r>
                      <w:r w:rsidRPr="007B79A5">
                        <w:rPr>
                          <w:color w:val="auto"/>
                        </w:rPr>
                        <w:t>e</w:t>
                      </w:r>
                      <w:r w:rsidRPr="007B79A5">
                        <w:rPr>
                          <w:color w:val="auto"/>
                        </w:rPr>
                        <w:t xml:space="preserve">sen Versuch wissen, dass </w:t>
                      </w:r>
                      <w:r>
                        <w:rPr>
                          <w:color w:val="auto"/>
                        </w:rPr>
                        <w:t>Pigmente in den Haaren für dessen Färbung verantwortlich sind. Auße</w:t>
                      </w:r>
                      <w:r>
                        <w:rPr>
                          <w:color w:val="auto"/>
                        </w:rPr>
                        <w:t>r</w:t>
                      </w:r>
                      <w:r>
                        <w:rPr>
                          <w:color w:val="auto"/>
                        </w:rPr>
                        <w:t>dem sollten sie wissen, dass es verschiedene Farbstoffe für die Haare, wie z. B. basische Far</w:t>
                      </w:r>
                      <w:r>
                        <w:rPr>
                          <w:color w:val="auto"/>
                        </w:rPr>
                        <w:t>b</w:t>
                      </w:r>
                      <w:r>
                        <w:rPr>
                          <w:color w:val="auto"/>
                        </w:rPr>
                        <w:t>stoffe, Nitrofarbstoffe oder Oxidationshaarfarben, gibt.</w:t>
                      </w:r>
                    </w:p>
                    <w:p w:rsidR="0025369F" w:rsidRPr="001B073E" w:rsidRDefault="0025369F" w:rsidP="0025369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Pr="003E7738">
        <w:t>V 2 – Anwendung eines Haarfärbemittels</w:t>
      </w:r>
    </w:p>
    <w:p w:rsidR="0025369F" w:rsidRPr="001B073E" w:rsidRDefault="0025369F" w:rsidP="0025369F">
      <w:pPr>
        <w:rPr>
          <w:color w:val="FF0000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5369F" w:rsidRPr="001B073E" w:rsidTr="00C32113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25369F" w:rsidRPr="00F400AF" w:rsidRDefault="0025369F" w:rsidP="00C32113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F400AF">
              <w:rPr>
                <w:b/>
                <w:bCs/>
                <w:color w:val="auto"/>
              </w:rPr>
              <w:t>Gefahrenstoffe</w:t>
            </w:r>
          </w:p>
        </w:tc>
      </w:tr>
      <w:tr w:rsidR="0025369F" w:rsidRPr="001B073E" w:rsidTr="00C3211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6" w:space="0" w:color="4F81BD"/>
            </w:tcBorders>
            <w:shd w:val="clear" w:color="auto" w:fill="auto"/>
            <w:vAlign w:val="center"/>
          </w:tcPr>
          <w:p w:rsidR="0025369F" w:rsidRPr="00F400AF" w:rsidRDefault="0025369F" w:rsidP="00C32113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400AF">
              <w:rPr>
                <w:bCs/>
                <w:color w:val="auto"/>
                <w:sz w:val="20"/>
                <w:szCs w:val="20"/>
              </w:rPr>
              <w:t>Pyrogallol-Lösung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6" w:space="0" w:color="4F81BD"/>
            </w:tcBorders>
            <w:shd w:val="clear" w:color="auto" w:fill="auto"/>
            <w:vAlign w:val="center"/>
          </w:tcPr>
          <w:p w:rsidR="0025369F" w:rsidRPr="00F400AF" w:rsidRDefault="0025369F" w:rsidP="00C32113">
            <w:pPr>
              <w:jc w:val="center"/>
              <w:rPr>
                <w:color w:val="auto"/>
                <w:sz w:val="20"/>
                <w:szCs w:val="20"/>
              </w:rPr>
            </w:pPr>
            <w:r w:rsidRPr="00F400AF">
              <w:rPr>
                <w:color w:val="auto"/>
                <w:sz w:val="20"/>
                <w:szCs w:val="20"/>
              </w:rPr>
              <w:t>H: 341-332-312-302-412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6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369F" w:rsidRPr="00F400AF" w:rsidRDefault="0025369F" w:rsidP="00C32113">
            <w:pPr>
              <w:jc w:val="center"/>
              <w:rPr>
                <w:color w:val="auto"/>
                <w:sz w:val="20"/>
                <w:szCs w:val="20"/>
              </w:rPr>
            </w:pPr>
            <w:r w:rsidRPr="00F400AF">
              <w:rPr>
                <w:color w:val="auto"/>
                <w:sz w:val="20"/>
                <w:szCs w:val="20"/>
              </w:rPr>
              <w:t>P: 201-273-308+313</w:t>
            </w:r>
          </w:p>
        </w:tc>
      </w:tr>
      <w:tr w:rsidR="0025369F" w:rsidRPr="001B073E" w:rsidTr="00C32113">
        <w:trPr>
          <w:trHeight w:val="434"/>
        </w:trPr>
        <w:tc>
          <w:tcPr>
            <w:tcW w:w="3027" w:type="dxa"/>
            <w:gridSpan w:val="3"/>
            <w:tcBorders>
              <w:top w:val="single" w:sz="6" w:space="0" w:color="4F81BD"/>
              <w:bottom w:val="single" w:sz="6" w:space="0" w:color="4F81BD"/>
            </w:tcBorders>
            <w:shd w:val="clear" w:color="auto" w:fill="auto"/>
            <w:vAlign w:val="center"/>
          </w:tcPr>
          <w:p w:rsidR="0025369F" w:rsidRPr="00242915" w:rsidRDefault="0025369F" w:rsidP="00C32113">
            <w:pPr>
              <w:jc w:val="center"/>
              <w:rPr>
                <w:bCs/>
                <w:color w:val="auto"/>
              </w:rPr>
            </w:pPr>
            <w:r w:rsidRPr="00242915">
              <w:rPr>
                <w:bCs/>
                <w:color w:val="auto"/>
              </w:rPr>
              <w:t>Ammoniak</w:t>
            </w:r>
          </w:p>
        </w:tc>
        <w:tc>
          <w:tcPr>
            <w:tcW w:w="3177" w:type="dxa"/>
            <w:gridSpan w:val="3"/>
            <w:tcBorders>
              <w:top w:val="single" w:sz="6" w:space="0" w:color="4F81BD"/>
              <w:bottom w:val="single" w:sz="6" w:space="0" w:color="4F81BD"/>
            </w:tcBorders>
            <w:shd w:val="clear" w:color="auto" w:fill="auto"/>
            <w:vAlign w:val="center"/>
          </w:tcPr>
          <w:p w:rsidR="0025369F" w:rsidRPr="00242915" w:rsidRDefault="0025369F" w:rsidP="00C32113">
            <w:pPr>
              <w:jc w:val="center"/>
              <w:rPr>
                <w:color w:val="auto"/>
              </w:rPr>
            </w:pPr>
            <w:r w:rsidRPr="00242915">
              <w:rPr>
                <w:color w:val="auto"/>
              </w:rPr>
              <w:t>H: 221-331-314-400</w:t>
            </w:r>
          </w:p>
        </w:tc>
        <w:tc>
          <w:tcPr>
            <w:tcW w:w="3118" w:type="dxa"/>
            <w:gridSpan w:val="3"/>
            <w:tcBorders>
              <w:top w:val="single" w:sz="6" w:space="0" w:color="4F81BD"/>
              <w:bottom w:val="single" w:sz="6" w:space="0" w:color="4F81BD"/>
            </w:tcBorders>
            <w:shd w:val="clear" w:color="auto" w:fill="auto"/>
            <w:vAlign w:val="center"/>
          </w:tcPr>
          <w:p w:rsidR="0025369F" w:rsidRPr="00242915" w:rsidRDefault="0025369F" w:rsidP="00C32113">
            <w:pPr>
              <w:jc w:val="center"/>
              <w:rPr>
                <w:color w:val="auto"/>
              </w:rPr>
            </w:pPr>
            <w:r w:rsidRPr="00242915">
              <w:rPr>
                <w:color w:val="auto"/>
              </w:rPr>
              <w:t>P: 210-260-280-273-304+340-303+361+353</w:t>
            </w:r>
          </w:p>
        </w:tc>
      </w:tr>
      <w:tr w:rsidR="0025369F" w:rsidRPr="001B073E" w:rsidTr="00C32113">
        <w:trPr>
          <w:trHeight w:val="434"/>
        </w:trPr>
        <w:tc>
          <w:tcPr>
            <w:tcW w:w="3027" w:type="dxa"/>
            <w:gridSpan w:val="3"/>
            <w:tcBorders>
              <w:top w:val="single" w:sz="6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242915" w:rsidRDefault="0025369F" w:rsidP="00C3211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Silbernitrat</w:t>
            </w:r>
          </w:p>
        </w:tc>
        <w:tc>
          <w:tcPr>
            <w:tcW w:w="3177" w:type="dxa"/>
            <w:gridSpan w:val="3"/>
            <w:tcBorders>
              <w:top w:val="single" w:sz="6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242915" w:rsidRDefault="0025369F" w:rsidP="00C321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H: 272-314-410</w:t>
            </w:r>
          </w:p>
        </w:tc>
        <w:tc>
          <w:tcPr>
            <w:tcW w:w="3118" w:type="dxa"/>
            <w:gridSpan w:val="3"/>
            <w:tcBorders>
              <w:top w:val="single" w:sz="6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242915" w:rsidRDefault="0025369F" w:rsidP="00C3211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P: 273-280-301+330+331-305+351+338-309+310</w:t>
            </w:r>
          </w:p>
        </w:tc>
      </w:tr>
      <w:tr w:rsidR="0025369F" w:rsidRPr="008E01E1" w:rsidTr="00C3211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noProof/>
                <w:color w:val="auto"/>
                <w:lang w:eastAsia="de-DE"/>
              </w:rPr>
              <w:drawing>
                <wp:inline distT="0" distB="0" distL="0" distR="0" wp14:anchorId="714D18AA" wp14:editId="35B81A22">
                  <wp:extent cx="509270" cy="509270"/>
                  <wp:effectExtent l="0" t="0" r="5080" b="5080"/>
                  <wp:docPr id="42" name="Grafik 42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72CF653D" wp14:editId="196BBBAA">
                  <wp:extent cx="517525" cy="517525"/>
                  <wp:effectExtent l="0" t="0" r="0" b="0"/>
                  <wp:docPr id="41" name="Grafik 41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550B2ED1" wp14:editId="290FDB66">
                  <wp:extent cx="500380" cy="50038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606098DE" wp14:editId="74D55B0E">
                  <wp:extent cx="500380" cy="50038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38132332" wp14:editId="5139F96C">
                  <wp:extent cx="500380" cy="50038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38229048" wp14:editId="2105F126">
                  <wp:extent cx="509270" cy="509270"/>
                  <wp:effectExtent l="0" t="0" r="5080" b="5080"/>
                  <wp:docPr id="35" name="Grafik 35" descr="Gesundheits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esundheits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7C011438" wp14:editId="5071AB3E">
                  <wp:extent cx="491490" cy="491490"/>
                  <wp:effectExtent l="0" t="0" r="3810" b="3810"/>
                  <wp:docPr id="34" name="Grafik 34" descr="Gif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if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33C34FF4" wp14:editId="66DF02BA">
                  <wp:extent cx="517525" cy="517525"/>
                  <wp:effectExtent l="0" t="0" r="0" b="0"/>
                  <wp:docPr id="33" name="Grafik 33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5369F" w:rsidRPr="008E01E1" w:rsidRDefault="0025369F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14789787" wp14:editId="7159D67B">
                  <wp:extent cx="526415" cy="526415"/>
                  <wp:effectExtent l="0" t="0" r="6985" b="6985"/>
                  <wp:docPr id="32" name="Grafik 32" descr="Umwelt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mwelt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69F" w:rsidRPr="008E01E1" w:rsidRDefault="0025369F" w:rsidP="0025369F">
      <w:pPr>
        <w:rPr>
          <w:color w:val="auto"/>
        </w:rPr>
      </w:pPr>
    </w:p>
    <w:p w:rsidR="0025369F" w:rsidRPr="008E01E1" w:rsidRDefault="0025369F" w:rsidP="0025369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8E01E1">
        <w:rPr>
          <w:color w:val="auto"/>
        </w:rPr>
        <w:t xml:space="preserve">Materialien: </w:t>
      </w:r>
      <w:r w:rsidRPr="008E01E1">
        <w:rPr>
          <w:color w:val="auto"/>
        </w:rPr>
        <w:tab/>
      </w:r>
      <w:r w:rsidRPr="008E01E1">
        <w:rPr>
          <w:color w:val="auto"/>
        </w:rPr>
        <w:tab/>
      </w:r>
      <w:r>
        <w:rPr>
          <w:color w:val="auto"/>
        </w:rPr>
        <w:t>Haare, Spatel, z</w:t>
      </w:r>
      <w:r w:rsidRPr="008E01E1">
        <w:rPr>
          <w:color w:val="auto"/>
        </w:rPr>
        <w:t>wei 100 mL Bechergläser, Waage</w:t>
      </w:r>
    </w:p>
    <w:p w:rsidR="0025369F" w:rsidRPr="008E01E1" w:rsidRDefault="0025369F" w:rsidP="0025369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8E01E1">
        <w:rPr>
          <w:color w:val="auto"/>
        </w:rPr>
        <w:t>Chemikalien:</w:t>
      </w:r>
      <w:r w:rsidRPr="008E01E1">
        <w:rPr>
          <w:color w:val="auto"/>
        </w:rPr>
        <w:tab/>
      </w:r>
      <w:r w:rsidRPr="008E01E1">
        <w:rPr>
          <w:color w:val="auto"/>
        </w:rPr>
        <w:tab/>
        <w:t>Pyrogallol-Lösung, Ammoniak, Silbernitrat</w:t>
      </w:r>
    </w:p>
    <w:p w:rsidR="0025369F" w:rsidRPr="008E01E1" w:rsidRDefault="0025369F" w:rsidP="0025369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8E01E1">
        <w:rPr>
          <w:color w:val="auto"/>
        </w:rPr>
        <w:t xml:space="preserve">Durchführung: </w:t>
      </w:r>
      <w:r w:rsidRPr="008E01E1">
        <w:rPr>
          <w:color w:val="auto"/>
        </w:rPr>
        <w:tab/>
      </w:r>
      <w:r w:rsidRPr="008E01E1">
        <w:rPr>
          <w:color w:val="auto"/>
        </w:rPr>
        <w:tab/>
      </w:r>
      <w:r w:rsidRPr="008E01E1">
        <w:rPr>
          <w:color w:val="auto"/>
        </w:rPr>
        <w:tab/>
        <w:t>Zunächst werden die Haare für fünf Minuten in Pyrogallol-Lösung g</w:t>
      </w:r>
      <w:r w:rsidRPr="008E01E1">
        <w:rPr>
          <w:color w:val="auto"/>
        </w:rPr>
        <w:t>e</w:t>
      </w:r>
      <w:r w:rsidRPr="008E01E1">
        <w:rPr>
          <w:color w:val="auto"/>
        </w:rPr>
        <w:t>tränkt. Im Anschluss werden sie für ebenfalls fünf Minuten in eine amm</w:t>
      </w:r>
      <w:r w:rsidRPr="008E01E1">
        <w:rPr>
          <w:color w:val="auto"/>
        </w:rPr>
        <w:t>o</w:t>
      </w:r>
      <w:r w:rsidRPr="008E01E1">
        <w:rPr>
          <w:color w:val="auto"/>
        </w:rPr>
        <w:t>niakalische Silbernitrat-Lösung getaucht. Nachdem die Haare getrocknet sind, wird die Haarprobe mit der ursprünglichen Haarprobe vergleichen.</w:t>
      </w:r>
    </w:p>
    <w:p w:rsidR="0025369F" w:rsidRPr="0004637A" w:rsidRDefault="0025369F" w:rsidP="0025369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8E01E1">
        <w:rPr>
          <w:color w:val="auto"/>
        </w:rPr>
        <w:t>Beobachtung 1:</w:t>
      </w:r>
      <w:r w:rsidRPr="008E01E1">
        <w:rPr>
          <w:color w:val="auto"/>
        </w:rPr>
        <w:tab/>
      </w:r>
      <w:r w:rsidRPr="008E01E1">
        <w:rPr>
          <w:color w:val="auto"/>
        </w:rPr>
        <w:tab/>
      </w:r>
      <w:r w:rsidRPr="008E01E1">
        <w:rPr>
          <w:color w:val="auto"/>
        </w:rPr>
        <w:tab/>
        <w:t xml:space="preserve">Nach </w:t>
      </w:r>
      <w:r w:rsidRPr="0004637A">
        <w:rPr>
          <w:color w:val="auto"/>
        </w:rPr>
        <w:t>Behandlung mit der Silbernitrat-Lösung sind die Haare blau-schwarz gefärbt (Abb. 2).</w:t>
      </w:r>
    </w:p>
    <w:p w:rsidR="0025369F" w:rsidRPr="0004637A" w:rsidRDefault="0025369F" w:rsidP="0025369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04637A">
        <w:rPr>
          <w:color w:val="auto"/>
        </w:rPr>
        <w:t>Deutung:</w:t>
      </w:r>
      <w:r w:rsidRPr="0004637A">
        <w:rPr>
          <w:color w:val="auto"/>
        </w:rPr>
        <w:tab/>
      </w:r>
      <w:r w:rsidRPr="0004637A">
        <w:rPr>
          <w:color w:val="auto"/>
        </w:rPr>
        <w:tab/>
      </w:r>
      <w:r w:rsidRPr="0004637A">
        <w:rPr>
          <w:color w:val="auto"/>
        </w:rPr>
        <w:tab/>
        <w:t>Pyrogallol ist ein Reduktionsmittel, welches Silber-Ionen zu elementaren Silber reduziert. Dieses scheidet sich auf den Haaren ab und bewirkt so die schwarze Verfärbung der Haare.</w:t>
      </w:r>
    </w:p>
    <w:p w:rsidR="0025369F" w:rsidRPr="0004637A" w:rsidRDefault="0025369F" w:rsidP="0025369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04637A">
        <w:rPr>
          <w:color w:val="auto"/>
        </w:rPr>
        <w:lastRenderedPageBreak/>
        <w:t>Entsorgung:</w:t>
      </w:r>
      <w:r w:rsidRPr="0004637A">
        <w:rPr>
          <w:color w:val="auto"/>
        </w:rPr>
        <w:tab/>
      </w:r>
      <w:r w:rsidRPr="0004637A">
        <w:rPr>
          <w:color w:val="auto"/>
        </w:rPr>
        <w:tab/>
        <w:t>Die wässrigen Silberabfälle werden neutralisiert und in den Schwermetal</w:t>
      </w:r>
      <w:r w:rsidRPr="0004637A">
        <w:rPr>
          <w:color w:val="auto"/>
        </w:rPr>
        <w:t>l</w:t>
      </w:r>
      <w:r w:rsidRPr="0004637A">
        <w:rPr>
          <w:color w:val="auto"/>
        </w:rPr>
        <w:t>abfall gegeben. Die Haare werden über den Feststoffabfall entsorgt.</w:t>
      </w:r>
    </w:p>
    <w:p w:rsidR="0025369F" w:rsidRPr="00610EDD" w:rsidRDefault="0025369F" w:rsidP="0025369F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610EDD">
        <w:rPr>
          <w:color w:val="auto"/>
        </w:rPr>
        <w:t>Literatur:</w:t>
      </w:r>
      <w:r w:rsidRPr="00610EDD">
        <w:rPr>
          <w:color w:val="auto"/>
        </w:rPr>
        <w:tab/>
      </w:r>
      <w:r w:rsidRPr="00610EDD">
        <w:rPr>
          <w:color w:val="auto"/>
        </w:rPr>
        <w:tab/>
        <w:t>W. Glöckner, W. Jansen, R.G. Weissenhorn, Handbuch der experimentellen Chemie – Band 12, Aulis 1997, S. </w:t>
      </w:r>
      <w:r>
        <w:rPr>
          <w:color w:val="auto"/>
        </w:rPr>
        <w:t>229f.</w:t>
      </w:r>
    </w:p>
    <w:p w:rsidR="0025369F" w:rsidRPr="001B073E" w:rsidRDefault="0025369F" w:rsidP="0025369F">
      <w:pPr>
        <w:tabs>
          <w:tab w:val="left" w:pos="1701"/>
          <w:tab w:val="left" w:pos="1985"/>
        </w:tabs>
        <w:ind w:left="1980" w:hanging="1980"/>
        <w:rPr>
          <w:color w:val="FF0000"/>
        </w:rPr>
      </w:pPr>
      <w:r>
        <w:rPr>
          <w:noProof/>
          <w:color w:val="FF0000"/>
          <w:lang w:eastAsia="de-DE"/>
        </w:rPr>
        <mc:AlternateContent>
          <mc:Choice Requires="wps">
            <w:drawing>
              <wp:inline distT="0" distB="0" distL="0" distR="0" wp14:anchorId="1E860E9E" wp14:editId="17EB8676">
                <wp:extent cx="5873115" cy="1081405"/>
                <wp:effectExtent l="0" t="0" r="13335" b="23495"/>
                <wp:docPr id="65" name="Textfeld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81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9F" w:rsidRPr="0004637A" w:rsidRDefault="0025369F" w:rsidP="0025369F">
                            <w:pPr>
                              <w:rPr>
                                <w:color w:val="auto"/>
                              </w:rPr>
                            </w:pPr>
                            <w:r w:rsidRPr="00DD0DA7">
                              <w:rPr>
                                <w:color w:val="auto"/>
                              </w:rPr>
                              <w:t>Die Chemikalien sind teilweise gefährlich, sodass der Versuch nur als LV durchgeführt werden kann.</w:t>
                            </w:r>
                            <w:r>
                              <w:rPr>
                                <w:color w:val="auto"/>
                              </w:rPr>
                              <w:t xml:space="preserve"> Der Effekt ist bei diesem Versuch leider nicht so eindeutig zu beobachten. Dieser Ve</w:t>
                            </w:r>
                            <w:r>
                              <w:rPr>
                                <w:color w:val="auto"/>
                              </w:rPr>
                              <w:t>r</w:t>
                            </w:r>
                            <w:r>
                              <w:rPr>
                                <w:color w:val="auto"/>
                              </w:rPr>
                              <w:t>such kann auch dazu dienen zu zeigen, wie Farben entstehen. Dabei kann auf konj</w:t>
                            </w:r>
                            <w:r>
                              <w:rPr>
                                <w:color w:val="auto"/>
                              </w:rPr>
                              <w:t>u</w:t>
                            </w:r>
                            <w:r>
                              <w:rPr>
                                <w:color w:val="auto"/>
                              </w:rPr>
                              <w:t>gierte π-Bindungen eingegangen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65" o:spid="_x0000_s1027" type="#_x0000_t202" style="width:462.4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" strokecolor="#c0504d" strokeweight="1pt">
                <v:stroke dashstyle="dash"/>
                <v:shadow color="#868686"/>
                <v:textbox>
                  <w:txbxContent>
                    <w:p w:rsidR="0025369F" w:rsidRPr="0004637A" w:rsidRDefault="0025369F" w:rsidP="0025369F">
                      <w:pPr>
                        <w:rPr>
                          <w:color w:val="auto"/>
                        </w:rPr>
                      </w:pPr>
                      <w:r w:rsidRPr="00DD0DA7">
                        <w:rPr>
                          <w:color w:val="auto"/>
                        </w:rPr>
                        <w:t>Die Chemikalien sind teilweise gefährlich, sodass der Versuch nur als LV durchgeführt werden kann.</w:t>
                      </w:r>
                      <w:r>
                        <w:rPr>
                          <w:color w:val="auto"/>
                        </w:rPr>
                        <w:t xml:space="preserve"> Der Effekt ist bei diesem Versuch leider nicht so eindeutig zu beobachten. Dieser Ve</w:t>
                      </w:r>
                      <w:r>
                        <w:rPr>
                          <w:color w:val="auto"/>
                        </w:rPr>
                        <w:t>r</w:t>
                      </w:r>
                      <w:r>
                        <w:rPr>
                          <w:color w:val="auto"/>
                        </w:rPr>
                        <w:t>such kann auch dazu dienen zu zeigen, wie Farben entstehen. Dabei kann auf konj</w:t>
                      </w:r>
                      <w:r>
                        <w:rPr>
                          <w:color w:val="auto"/>
                        </w:rPr>
                        <w:t>u</w:t>
                      </w:r>
                      <w:r>
                        <w:rPr>
                          <w:color w:val="auto"/>
                        </w:rPr>
                        <w:t>gierte π-Bindungen eingegangen werden.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25369F" w:rsidRDefault="00BE6DD9" w:rsidP="0025369F"/>
    <w:sectPr w:rsidR="00BE6DD9" w:rsidRPr="0025369F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25369F" w:rsidRPr="0025369F">
            <w:rPr>
              <w:b/>
              <w:bCs/>
              <w:noProof/>
              <w:sz w:val="20"/>
              <w:szCs w:val="20"/>
            </w:rPr>
            <w:t>V 2 – Anwendung eines Haarfärbemittels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25369F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69F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0F5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C573-C39B-4469-90FA-776B789B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2013-08-14T19:19:00Z</dcterms:created>
  <dcterms:modified xsi:type="dcterms:W3CDTF">2013-08-14T19:19:00Z</dcterms:modified>
</cp:coreProperties>
</file>