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56" w:rsidRDefault="00084E56" w:rsidP="00084E56">
      <w:pPr>
        <w:pStyle w:val="berschrift1"/>
        <w:numPr>
          <w:ilvl w:val="0"/>
          <w:numId w:val="0"/>
        </w:numPr>
        <w:ind w:left="431" w:hanging="431"/>
      </w:pPr>
      <w:bookmarkStart w:id="0" w:name="_Toc364098455"/>
      <w:bookmarkStart w:id="1" w:name="_GoBack"/>
      <w:bookmarkEnd w:id="1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7DC" wp14:editId="272BE27E">
                <wp:simplePos x="0" y="0"/>
                <wp:positionH relativeFrom="column">
                  <wp:posOffset>13335</wp:posOffset>
                </wp:positionH>
                <wp:positionV relativeFrom="paragraph">
                  <wp:posOffset>902970</wp:posOffset>
                </wp:positionV>
                <wp:extent cx="5873115" cy="784860"/>
                <wp:effectExtent l="0" t="0" r="13335" b="15240"/>
                <wp:wrapSquare wrapText="bothSides"/>
                <wp:docPr id="60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84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E56" w:rsidRPr="00CD03BD" w:rsidRDefault="00084E56" w:rsidP="00084E56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In diesem Versuch erlernen die SuS die Reaktion von Dihydroxyaceton mit freien Aminogru</w:t>
                            </w:r>
                            <w:r>
                              <w:rPr>
                                <w:color w:val="auto"/>
                              </w:rPr>
                              <w:t>p</w:t>
                            </w:r>
                            <w:r>
                              <w:rPr>
                                <w:color w:val="auto"/>
                              </w:rPr>
                              <w:t>pen</w:t>
                            </w:r>
                            <w:r w:rsidRPr="00124BBC">
                              <w:rPr>
                                <w:color w:val="auto"/>
                              </w:rPr>
                              <w:t xml:space="preserve">. Als Vorwissen müssen die SuS </w:t>
                            </w:r>
                            <w:r>
                              <w:rPr>
                                <w:color w:val="auto"/>
                              </w:rPr>
                              <w:t>wissen, wie eine Aminosäure aufgebaut ist und wie organ</w:t>
                            </w:r>
                            <w:r>
                              <w:rPr>
                                <w:color w:val="auto"/>
                              </w:rPr>
                              <w:t>i</w:t>
                            </w:r>
                            <w:r>
                              <w:rPr>
                                <w:color w:val="auto"/>
                              </w:rPr>
                              <w:t>sche Reaktionen ablaufen.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6" type="#_x0000_t202" style="position:absolute;left:0;text-align:left;margin-left:1.05pt;margin-top:71.1pt;width:462.4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" strokecolor="#4bacc6" strokeweight="1pt">
                <v:stroke dashstyle="dash"/>
                <v:shadow color="#868686"/>
                <v:textbox>
                  <w:txbxContent>
                    <w:p w:rsidR="00084E56" w:rsidRPr="00CD03BD" w:rsidRDefault="00084E56" w:rsidP="00084E56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auto"/>
                        </w:rPr>
                        <w:t>In diesem Versuch erlernen die SuS die Reaktion von Dihydroxyaceton mit freien Aminogru</w:t>
                      </w:r>
                      <w:r>
                        <w:rPr>
                          <w:color w:val="auto"/>
                        </w:rPr>
                        <w:t>p</w:t>
                      </w:r>
                      <w:r>
                        <w:rPr>
                          <w:color w:val="auto"/>
                        </w:rPr>
                        <w:t>pen</w:t>
                      </w:r>
                      <w:r w:rsidRPr="00124BBC">
                        <w:rPr>
                          <w:color w:val="auto"/>
                        </w:rPr>
                        <w:t xml:space="preserve">. Als Vorwissen müssen die SuS </w:t>
                      </w:r>
                      <w:r>
                        <w:rPr>
                          <w:color w:val="auto"/>
                        </w:rPr>
                        <w:t>wissen, wie eine Aminosäure aufgebaut ist und wie organ</w:t>
                      </w:r>
                      <w:r>
                        <w:rPr>
                          <w:color w:val="auto"/>
                        </w:rPr>
                        <w:t>i</w:t>
                      </w:r>
                      <w:r>
                        <w:rPr>
                          <w:color w:val="auto"/>
                        </w:rPr>
                        <w:t>sche Reaktionen ablaufen.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5 – Reaktion eines Selbstbräunungsmittels mit freien Amin</w:t>
      </w:r>
      <w:r>
        <w:t>o</w:t>
      </w:r>
      <w:r>
        <w:t>säuren</w:t>
      </w:r>
      <w:bookmarkEnd w:id="0"/>
    </w:p>
    <w:p w:rsidR="00084E56" w:rsidRDefault="00084E56" w:rsidP="00084E56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84E56" w:rsidRPr="0004637A" w:rsidTr="00C32113">
        <w:tc>
          <w:tcPr>
            <w:tcW w:w="9322" w:type="dxa"/>
            <w:gridSpan w:val="9"/>
            <w:tcBorders>
              <w:bottom w:val="single" w:sz="8" w:space="0" w:color="4F81BD"/>
            </w:tcBorders>
            <w:shd w:val="clear" w:color="auto" w:fill="4F81BD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04637A">
              <w:rPr>
                <w:b/>
                <w:bCs/>
                <w:color w:val="auto"/>
              </w:rPr>
              <w:t>Gefahrenstoffe</w:t>
            </w:r>
          </w:p>
        </w:tc>
      </w:tr>
      <w:tr w:rsidR="00084E56" w:rsidRPr="0004637A" w:rsidTr="00C3211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Selbstbräunungscreme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4637A">
              <w:rPr>
                <w:color w:val="auto"/>
              </w:rPr>
              <w:t xml:space="preserve">H: </w:t>
            </w:r>
            <w:r>
              <w:rPr>
                <w:color w:val="auto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4637A">
              <w:rPr>
                <w:color w:val="auto"/>
              </w:rPr>
              <w:t xml:space="preserve">P: </w:t>
            </w:r>
            <w:r>
              <w:rPr>
                <w:color w:val="auto"/>
              </w:rPr>
              <w:t>-</w:t>
            </w:r>
          </w:p>
        </w:tc>
      </w:tr>
      <w:tr w:rsidR="00084E56" w:rsidRPr="0004637A" w:rsidTr="00C32113">
        <w:trPr>
          <w:trHeight w:val="434"/>
        </w:trPr>
        <w:tc>
          <w:tcPr>
            <w:tcW w:w="302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Glycin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4637A">
              <w:rPr>
                <w:color w:val="auto"/>
              </w:rPr>
              <w:t xml:space="preserve">H: </w:t>
            </w:r>
            <w:r>
              <w:rPr>
                <w:color w:val="auto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100" w:afterAutospacing="1"/>
              <w:jc w:val="center"/>
              <w:rPr>
                <w:color w:val="auto"/>
              </w:rPr>
            </w:pPr>
            <w:r w:rsidRPr="0004637A">
              <w:rPr>
                <w:color w:val="auto"/>
              </w:rPr>
              <w:t xml:space="preserve">P: </w:t>
            </w:r>
            <w:r>
              <w:rPr>
                <w:color w:val="auto"/>
              </w:rPr>
              <w:t>-</w:t>
            </w:r>
          </w:p>
        </w:tc>
      </w:tr>
      <w:tr w:rsidR="00084E56" w:rsidRPr="0004637A" w:rsidTr="00C3211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noProof/>
                <w:color w:val="auto"/>
                <w:lang w:eastAsia="de-DE"/>
              </w:rPr>
              <w:drawing>
                <wp:inline distT="0" distB="0" distL="0" distR="0" wp14:anchorId="5917FD82" wp14:editId="0865597E">
                  <wp:extent cx="509270" cy="509270"/>
                  <wp:effectExtent l="0" t="0" r="5080" b="5080"/>
                  <wp:docPr id="11" name="Grafik 11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3326F484" wp14:editId="787F3933">
                  <wp:extent cx="500380" cy="50038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3C26425" wp14:editId="1388BAA2">
                  <wp:extent cx="491490" cy="491490"/>
                  <wp:effectExtent l="0" t="0" r="3810" b="3810"/>
                  <wp:docPr id="9" name="Grafik 9" descr="Brennb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rennb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7F6C8E7F" wp14:editId="02A3A071">
                  <wp:extent cx="500380" cy="50038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5A4EBDBB" wp14:editId="19D18EFF">
                  <wp:extent cx="500380" cy="50038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176791E0" wp14:editId="7B53EB8E">
                  <wp:extent cx="500380" cy="50038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5D8094BB" wp14:editId="28D6A439">
                  <wp:extent cx="500380" cy="50038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4D66F3D3" wp14:editId="01A4CCAF">
                  <wp:extent cx="474345" cy="474345"/>
                  <wp:effectExtent l="0" t="0" r="1905" b="1905"/>
                  <wp:docPr id="4" name="Grafik 4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4E56" w:rsidRPr="0004637A" w:rsidRDefault="00084E56" w:rsidP="00C32113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 wp14:anchorId="2A4CFFB0" wp14:editId="66F9B98F">
                  <wp:extent cx="500380" cy="50038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E56" w:rsidRDefault="00084E56" w:rsidP="00084E56"/>
    <w:p w:rsidR="00084E56" w:rsidRPr="00202086" w:rsidRDefault="00084E56" w:rsidP="00084E56">
      <w:pPr>
        <w:ind w:left="1985" w:hanging="1985"/>
        <w:rPr>
          <w:color w:val="auto"/>
        </w:rPr>
      </w:pPr>
      <w:r w:rsidRPr="00202086">
        <w:rPr>
          <w:color w:val="auto"/>
        </w:rPr>
        <w:t>Materialien:</w:t>
      </w:r>
      <w:r w:rsidRPr="00202086">
        <w:rPr>
          <w:color w:val="auto"/>
        </w:rPr>
        <w:tab/>
      </w:r>
      <w:r>
        <w:rPr>
          <w:color w:val="auto"/>
        </w:rPr>
        <w:t>2</w:t>
      </w:r>
      <w:r w:rsidRPr="00202086">
        <w:rPr>
          <w:color w:val="auto"/>
        </w:rPr>
        <w:t xml:space="preserve">00 mL Becherglas, </w:t>
      </w:r>
      <w:r>
        <w:rPr>
          <w:color w:val="auto"/>
        </w:rPr>
        <w:t>dr</w:t>
      </w:r>
      <w:r w:rsidRPr="00202086">
        <w:rPr>
          <w:color w:val="auto"/>
        </w:rPr>
        <w:t xml:space="preserve">ei Reagenzgläser, </w:t>
      </w:r>
      <w:r>
        <w:rPr>
          <w:color w:val="auto"/>
        </w:rPr>
        <w:t>drei Stopfen, Thermometer, Hei</w:t>
      </w:r>
      <w:r>
        <w:rPr>
          <w:color w:val="auto"/>
        </w:rPr>
        <w:t>z</w:t>
      </w:r>
      <w:r>
        <w:rPr>
          <w:color w:val="auto"/>
        </w:rPr>
        <w:t>platte, Stativ, Spatel, Aluminiumfolie</w:t>
      </w:r>
    </w:p>
    <w:p w:rsidR="00084E56" w:rsidRPr="00202086" w:rsidRDefault="00084E56" w:rsidP="00084E56">
      <w:pPr>
        <w:ind w:left="1985" w:hanging="1985"/>
        <w:rPr>
          <w:color w:val="auto"/>
        </w:rPr>
      </w:pPr>
      <w:r w:rsidRPr="00202086">
        <w:rPr>
          <w:color w:val="auto"/>
        </w:rPr>
        <w:t>Chemikalien:</w:t>
      </w:r>
      <w:r w:rsidRPr="00202086">
        <w:rPr>
          <w:color w:val="auto"/>
        </w:rPr>
        <w:tab/>
      </w:r>
      <w:r>
        <w:rPr>
          <w:color w:val="auto"/>
        </w:rPr>
        <w:t>Selbstbräunungscreme (enthält Dihydroxyaceton), Glycin</w:t>
      </w:r>
    </w:p>
    <w:p w:rsidR="00084E56" w:rsidRPr="00202086" w:rsidRDefault="00084E56" w:rsidP="00084E56">
      <w:pPr>
        <w:spacing w:after="0"/>
        <w:ind w:left="1985" w:hanging="1985"/>
        <w:rPr>
          <w:color w:val="auto"/>
        </w:rPr>
      </w:pPr>
      <w:r w:rsidRPr="00202086">
        <w:rPr>
          <w:color w:val="auto"/>
        </w:rPr>
        <w:t>Durchführung:</w:t>
      </w:r>
      <w:r w:rsidRPr="00202086">
        <w:rPr>
          <w:color w:val="auto"/>
        </w:rPr>
        <w:tab/>
      </w:r>
      <w:r>
        <w:rPr>
          <w:color w:val="auto"/>
        </w:rPr>
        <w:t>Ein Wasserbad wird auf 50°C erwärmt. Anschließend wird in jedes der drei Reagenzgläser je 2 cm der Creme gegeben. Eines der Reagenzgläser wird mit Aluminiumfolie abgedunkelt. In das abgedunkelte Glas und in ein weiteres werden nun je eine Spatelspitze Glycin gegeben. Die Zeit wird n</w:t>
      </w:r>
      <w:r>
        <w:rPr>
          <w:color w:val="auto"/>
        </w:rPr>
        <w:t>o</w:t>
      </w:r>
      <w:r>
        <w:rPr>
          <w:color w:val="auto"/>
        </w:rPr>
        <w:t>tiert. Alle fünf Minuten werden die Proben beobachtet.</w:t>
      </w:r>
    </w:p>
    <w:p w:rsidR="00084E56" w:rsidRPr="00202086" w:rsidRDefault="00084E56" w:rsidP="00084E56">
      <w:pPr>
        <w:ind w:left="1985" w:hanging="1985"/>
        <w:rPr>
          <w:color w:val="auto"/>
        </w:rPr>
      </w:pPr>
      <w:r w:rsidRPr="00202086">
        <w:rPr>
          <w:color w:val="auto"/>
        </w:rPr>
        <w:t>Beobachtung:</w:t>
      </w:r>
      <w:r w:rsidRPr="00202086">
        <w:rPr>
          <w:color w:val="auto"/>
        </w:rPr>
        <w:tab/>
      </w:r>
      <w:r>
        <w:rPr>
          <w:color w:val="auto"/>
        </w:rPr>
        <w:t>Unabhängig von der Lichtzufuhr werden die Proben in den beiden Re</w:t>
      </w:r>
      <w:r>
        <w:rPr>
          <w:color w:val="auto"/>
        </w:rPr>
        <w:t>a</w:t>
      </w:r>
      <w:r>
        <w:rPr>
          <w:color w:val="auto"/>
        </w:rPr>
        <w:t xml:space="preserve">genzgläsern mit Glycin-Zugabe braun gefärbt. </w:t>
      </w:r>
    </w:p>
    <w:p w:rsidR="00084E56" w:rsidRDefault="00084E56" w:rsidP="00084E56">
      <w:pPr>
        <w:ind w:left="1985" w:hanging="1985"/>
      </w:pPr>
      <w:r>
        <w:t>Deutung:</w:t>
      </w:r>
      <w:r>
        <w:tab/>
        <w:t>Die Braunfärbung der Lösung ist eine Reaktion zwischen Selbstbräuner und der Aminosäure, unabhängig von der Lichtzufuhr. Der im Selbstbrä</w:t>
      </w:r>
      <w:r>
        <w:t>u</w:t>
      </w:r>
      <w:r>
        <w:t>ner enthaltene Wirkstoff Dihydroxyaceton reagiert mit den freien Amin</w:t>
      </w:r>
      <w:r>
        <w:t>o</w:t>
      </w:r>
      <w:r>
        <w:t>gruppen der Aminosäuren zu Propan-1-amid-2,3-imid.</w:t>
      </w:r>
    </w:p>
    <w:p w:rsidR="00084E56" w:rsidRDefault="00084E56" w:rsidP="00084E56">
      <w:pPr>
        <w:ind w:left="1985" w:hanging="1985"/>
      </w:pPr>
      <w:r>
        <w:t>Entsorgung:</w:t>
      </w:r>
      <w:r>
        <w:tab/>
        <w:t>Die Chemikalien werden in den Hausmüll und über das Abwasser entsorgt.</w:t>
      </w:r>
    </w:p>
    <w:p w:rsidR="00084E56" w:rsidRDefault="00084E56" w:rsidP="00084E56">
      <w:pPr>
        <w:ind w:left="1985" w:hanging="1985"/>
      </w:pPr>
      <w:r>
        <w:t>Literatur:</w:t>
      </w:r>
      <w:r>
        <w:tab/>
      </w:r>
      <w:r w:rsidRPr="00060BED">
        <w:rPr>
          <w:color w:val="auto"/>
        </w:rPr>
        <w:t>W. Glöckner, W. Jansen, R.G. Weissenhorn, Handbuch der experimentellen Chemie – Band 12, Aulis 1997, S. 2</w:t>
      </w:r>
      <w:r>
        <w:rPr>
          <w:color w:val="auto"/>
        </w:rPr>
        <w:t>31</w:t>
      </w:r>
      <w:r w:rsidRPr="00060BED">
        <w:rPr>
          <w:color w:val="auto"/>
        </w:rPr>
        <w:t>f.</w:t>
      </w:r>
    </w:p>
    <w:p w:rsidR="00BE6DD9" w:rsidRPr="00084E56" w:rsidRDefault="00084E56" w:rsidP="00084E56">
      <w:pPr>
        <w:ind w:left="1985" w:hanging="1985"/>
      </w:pPr>
      <w:r>
        <w:rPr>
          <w:noProof/>
          <w:color w:val="FF0000"/>
          <w:lang w:eastAsia="de-DE"/>
        </w:rPr>
        <w:lastRenderedPageBreak/>
        <mc:AlternateContent>
          <mc:Choice Requires="wps">
            <w:drawing>
              <wp:inline distT="0" distB="0" distL="0" distR="0" wp14:anchorId="66E74357" wp14:editId="510F5438">
                <wp:extent cx="5873115" cy="1084580"/>
                <wp:effectExtent l="0" t="0" r="13335" b="20320"/>
                <wp:docPr id="59" name="Textfeld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845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E56" w:rsidRPr="00E12C7D" w:rsidRDefault="00084E56" w:rsidP="00084E5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Dieser Versuch eignet sich, um die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Maillard-</w:t>
                            </w:r>
                            <w:r>
                              <w:rPr>
                                <w:color w:val="auto"/>
                              </w:rPr>
                              <w:t xml:space="preserve">Reaktion zu erläutern. Diese findet sich z. B. bei der Bräunung von Schweinefleisch. Bei der Frittierung von Pommes wird durch die </w:t>
                            </w:r>
                            <w:r>
                              <w:rPr>
                                <w:i/>
                                <w:color w:val="auto"/>
                              </w:rPr>
                              <w:t>Maillard-</w:t>
                            </w:r>
                            <w:r>
                              <w:rPr>
                                <w:color w:val="auto"/>
                              </w:rPr>
                              <w:t>Reaktion Acrylamid gebildet. Der Versuch ist einfach durchzuführen, zeigt einen deutlichen Effekt und ist bei der Entsorgung wie bei der Handhabung der Chemikalien ungefährlich.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59" o:spid="_x0000_s1027" type="#_x0000_t202" style="width:462.45pt;height:8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" strokecolor="#c0504d" strokeweight="1pt">
                <v:stroke dashstyle="dash"/>
                <v:shadow color="#868686"/>
                <v:textbox>
                  <w:txbxContent>
                    <w:p w:rsidR="00084E56" w:rsidRPr="00E12C7D" w:rsidRDefault="00084E56" w:rsidP="00084E56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Dieser Versuch eignet sich, um die </w:t>
                      </w:r>
                      <w:r>
                        <w:rPr>
                          <w:i/>
                          <w:color w:val="auto"/>
                        </w:rPr>
                        <w:t>Maillard-</w:t>
                      </w:r>
                      <w:r>
                        <w:rPr>
                          <w:color w:val="auto"/>
                        </w:rPr>
                        <w:t xml:space="preserve">Reaktion zu erläutern. Diese findet sich z. B. bei der Bräunung von Schweinefleisch. Bei der Frittierung von Pommes wird durch die </w:t>
                      </w:r>
                      <w:r>
                        <w:rPr>
                          <w:i/>
                          <w:color w:val="auto"/>
                        </w:rPr>
                        <w:t>Maillard-</w:t>
                      </w:r>
                      <w:r>
                        <w:rPr>
                          <w:color w:val="auto"/>
                        </w:rPr>
                        <w:t>Reaktion Acrylamid gebildet. Der Versuch ist einfach durchzuführen, zeigt einen deutlichen Effekt und ist bei der Entsorgung wie bei der Handhabung der Chemikalien ungefährlich.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E6DD9" w:rsidRPr="00084E56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6B" w:rsidRDefault="00333A6B" w:rsidP="009524CC">
      <w:pPr>
        <w:spacing w:after="0"/>
      </w:pPr>
      <w:r>
        <w:separator/>
      </w:r>
    </w:p>
  </w:endnote>
  <w:endnote w:type="continuationSeparator" w:id="0">
    <w:p w:rsidR="00333A6B" w:rsidRDefault="00333A6B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6B" w:rsidRDefault="00333A6B" w:rsidP="009524CC">
      <w:pPr>
        <w:spacing w:after="0"/>
      </w:pPr>
      <w:r>
        <w:separator/>
      </w:r>
    </w:p>
  </w:footnote>
  <w:footnote w:type="continuationSeparator" w:id="0">
    <w:p w:rsidR="00333A6B" w:rsidRDefault="00333A6B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84E56" w:rsidRPr="00084E56">
            <w:rPr>
              <w:b/>
              <w:bCs/>
              <w:noProof/>
              <w:sz w:val="20"/>
              <w:szCs w:val="20"/>
            </w:rPr>
            <w:t>V 5 – Reaktion eines Selbstbräunungsmittels mit freien Aminosäuren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084E56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4E56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9A6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69F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0F5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172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8E51-ABEA-47BA-931E-1EF9CFD7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Thomas Waitz</cp:lastModifiedBy>
  <cp:revision>2</cp:revision>
  <cp:lastPrinted>2012-06-21T19:47:00Z</cp:lastPrinted>
  <dcterms:created xsi:type="dcterms:W3CDTF">2013-08-14T19:22:00Z</dcterms:created>
  <dcterms:modified xsi:type="dcterms:W3CDTF">2013-08-14T19:22:00Z</dcterms:modified>
</cp:coreProperties>
</file>