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B78" w:rsidRDefault="00761B78" w:rsidP="00761B78">
      <w:pPr>
        <w:pStyle w:val="berschrift2"/>
        <w:numPr>
          <w:ilvl w:val="0"/>
          <w:numId w:val="0"/>
        </w:numPr>
        <w:ind w:left="576" w:hanging="576"/>
        <w:rPr>
          <w:color w:val="auto"/>
        </w:rPr>
      </w:pPr>
      <w:r>
        <w:rPr>
          <w:noProof/>
          <w:color w:val="auto"/>
          <w:lang w:eastAsia="de-DE"/>
        </w:rPr>
        <w:pict>
          <v:shapetype id="_x0000_t202" coordsize="21600,21600" o:spt="202" path="m,l,21600r21600,l21600,xe">
            <v:stroke joinstyle="miter"/>
            <v:path gradientshapeok="t" o:connecttype="rect"/>
          </v:shapetype>
          <v:shape id="_x0000_s1027" type="#_x0000_t202" style="position:absolute;left:0;text-align:left;margin-left:2.4pt;margin-top:70.15pt;width:462.45pt;height:252pt;z-index:251660288;mso-width-relative:margin;mso-height-relative:margin" fillcolor="white [3201]" strokecolor="#4bacc6 [3208]" strokeweight="1pt">
            <v:stroke dashstyle="dash"/>
            <v:shadow color="#868686"/>
            <v:textbox style="mso-next-textbox:#_x0000_s1027">
              <w:txbxContent>
                <w:p w:rsidR="00761B78" w:rsidRDefault="00761B78" w:rsidP="00761B78">
                  <w:pPr>
                    <w:rPr>
                      <w:color w:val="auto"/>
                    </w:rPr>
                  </w:pPr>
                  <w:r>
                    <w:rPr>
                      <w:color w:val="auto"/>
                    </w:rPr>
                    <w:t>Bei diesem Versuch geht es darum, die Geschwindigkeit einer Reaktion bei unterschiedlicher Konzentration der Edukte und bei unterschiedlichen Temperaturen zu untersuchen. Da diese Sachverhalte sowohl in einem Versuchsdurchgang als auch unabhängig voneinander erarbeitet werden können, unterteile ich im Folgenden den Versuch in zwei Teile. Teil a) beschäftigt sich mit der Konzentrationsabhängigkeit, Teil b) mit der Temperaturabhängigkeit. Hierzu wäre es auch denkbar, dass zunächst ein Versuchsteil vorgegeben und erarbeitet wird, während die Untersuchung des zweiten Teils von den SuS selbst entwickelt werden soll.</w:t>
                  </w:r>
                </w:p>
                <w:p w:rsidR="00761B78" w:rsidRPr="00374ABA" w:rsidRDefault="00761B78" w:rsidP="00761B78">
                  <w:pPr>
                    <w:rPr>
                      <w:color w:val="auto"/>
                    </w:rPr>
                  </w:pPr>
                  <w:r>
                    <w:rPr>
                      <w:color w:val="auto"/>
                    </w:rPr>
                    <w:t>Zum Verständnis dieses Versuchs sollten die SuS bereits Redoxreaktionen kennen. Es wäre wünschenswert, dass sie Kaliumpermanganat an dieser Stelle schon kennen und die verschi</w:t>
                  </w:r>
                  <w:r>
                    <w:rPr>
                      <w:color w:val="auto"/>
                    </w:rPr>
                    <w:t>e</w:t>
                  </w:r>
                  <w:r>
                    <w:rPr>
                      <w:color w:val="auto"/>
                    </w:rPr>
                    <w:t>denen Oxidationszahlen bereits zuordnen können, um das Ergebnis der Reaktion vorauszus</w:t>
                  </w:r>
                  <w:r>
                    <w:rPr>
                      <w:color w:val="auto"/>
                    </w:rPr>
                    <w:t>e</w:t>
                  </w:r>
                  <w:r>
                    <w:rPr>
                      <w:color w:val="auto"/>
                    </w:rPr>
                    <w:t xml:space="preserve">hen. Dies ist insofern wichtig, da die Reaktion als solche nicht im Vordergrund steht und sich die Auswertung vor allem auf die Reaktionsgeschwindigkeiten konzentrieren soll. </w:t>
                  </w:r>
                </w:p>
              </w:txbxContent>
            </v:textbox>
            <w10:wrap type="square"/>
          </v:shape>
        </w:pict>
      </w:r>
      <w:bookmarkStart w:id="0" w:name="_Toc363815225"/>
      <w:r>
        <w:rPr>
          <w:color w:val="auto"/>
        </w:rPr>
        <w:t>V 2</w:t>
      </w:r>
      <w:r w:rsidRPr="00374ABA">
        <w:rPr>
          <w:color w:val="auto"/>
        </w:rPr>
        <w:t xml:space="preserve"> – </w:t>
      </w:r>
      <w:r>
        <w:rPr>
          <w:color w:val="auto"/>
        </w:rPr>
        <w:t>Abhängigkeit der Reaktionsgeschwindigkeit von der Konzentration und der Temperatur bei der Reaktion von Kaliumpermanganat mit Oxalsäure in Lösung</w:t>
      </w:r>
      <w:bookmarkEnd w:id="0"/>
    </w:p>
    <w:p w:rsidR="00761B78" w:rsidRPr="00374ABA" w:rsidRDefault="00761B78" w:rsidP="00761B78">
      <w:pPr>
        <w:rPr>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761B78" w:rsidRPr="00374ABA" w:rsidTr="00547291">
        <w:tc>
          <w:tcPr>
            <w:tcW w:w="9322" w:type="dxa"/>
            <w:gridSpan w:val="9"/>
            <w:tcBorders>
              <w:bottom w:val="single" w:sz="8" w:space="0" w:color="4F81BD"/>
            </w:tcBorders>
            <w:shd w:val="clear" w:color="auto" w:fill="4F81BD"/>
            <w:vAlign w:val="center"/>
          </w:tcPr>
          <w:p w:rsidR="00761B78" w:rsidRPr="00374ABA" w:rsidRDefault="00761B78" w:rsidP="00547291">
            <w:pPr>
              <w:spacing w:after="0"/>
              <w:jc w:val="center"/>
              <w:rPr>
                <w:b/>
                <w:bCs/>
                <w:color w:val="auto"/>
              </w:rPr>
            </w:pPr>
            <w:r w:rsidRPr="00374ABA">
              <w:rPr>
                <w:b/>
                <w:bCs/>
                <w:color w:val="auto"/>
              </w:rPr>
              <w:t>Gefahrenstoffe</w:t>
            </w:r>
          </w:p>
        </w:tc>
      </w:tr>
      <w:tr w:rsidR="00761B78" w:rsidRPr="00374ABA" w:rsidTr="0054729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61B78" w:rsidRPr="00374ABA" w:rsidRDefault="00761B78" w:rsidP="00547291">
            <w:pPr>
              <w:spacing w:after="0" w:line="276" w:lineRule="auto"/>
              <w:jc w:val="center"/>
              <w:rPr>
                <w:b/>
                <w:bCs/>
                <w:color w:val="auto"/>
              </w:rPr>
            </w:pPr>
            <w:r>
              <w:rPr>
                <w:color w:val="auto"/>
                <w:sz w:val="20"/>
              </w:rPr>
              <w:t>Kaliumpermanganat</w:t>
            </w:r>
          </w:p>
        </w:tc>
        <w:tc>
          <w:tcPr>
            <w:tcW w:w="3177" w:type="dxa"/>
            <w:gridSpan w:val="3"/>
            <w:tcBorders>
              <w:top w:val="single" w:sz="8" w:space="0" w:color="4F81BD"/>
              <w:bottom w:val="single" w:sz="8" w:space="0" w:color="4F81BD"/>
            </w:tcBorders>
            <w:shd w:val="clear" w:color="auto" w:fill="auto"/>
            <w:vAlign w:val="center"/>
          </w:tcPr>
          <w:p w:rsidR="00761B78" w:rsidRPr="00374ABA" w:rsidRDefault="00761B78" w:rsidP="00547291">
            <w:pPr>
              <w:spacing w:after="0"/>
              <w:jc w:val="center"/>
              <w:rPr>
                <w:color w:val="auto"/>
              </w:rPr>
            </w:pPr>
            <w:r w:rsidRPr="00374ABA">
              <w:rPr>
                <w:color w:val="auto"/>
                <w:sz w:val="20"/>
              </w:rPr>
              <w:t xml:space="preserve">H: </w:t>
            </w:r>
            <w:r>
              <w:t>272- 302- 410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61B78" w:rsidRPr="00374ABA" w:rsidRDefault="00761B78" w:rsidP="00547291">
            <w:pPr>
              <w:spacing w:after="0"/>
              <w:jc w:val="center"/>
              <w:rPr>
                <w:color w:val="auto"/>
              </w:rPr>
            </w:pPr>
            <w:r w:rsidRPr="00374ABA">
              <w:rPr>
                <w:color w:val="auto"/>
                <w:sz w:val="20"/>
              </w:rPr>
              <w:t xml:space="preserve">P: </w:t>
            </w:r>
            <w:r>
              <w:t>210-273</w:t>
            </w:r>
          </w:p>
        </w:tc>
      </w:tr>
      <w:tr w:rsidR="00761B78" w:rsidRPr="00374ABA" w:rsidTr="00547291">
        <w:trPr>
          <w:trHeight w:val="434"/>
        </w:trPr>
        <w:tc>
          <w:tcPr>
            <w:tcW w:w="3027" w:type="dxa"/>
            <w:gridSpan w:val="3"/>
            <w:tcBorders>
              <w:top w:val="single" w:sz="8" w:space="0" w:color="4F81BD"/>
              <w:bottom w:val="single" w:sz="8" w:space="0" w:color="4F81BD"/>
            </w:tcBorders>
            <w:shd w:val="clear" w:color="auto" w:fill="auto"/>
            <w:vAlign w:val="center"/>
          </w:tcPr>
          <w:p w:rsidR="00761B78" w:rsidRPr="00374ABA" w:rsidRDefault="00761B78" w:rsidP="00547291">
            <w:pPr>
              <w:spacing w:after="0" w:line="276" w:lineRule="auto"/>
              <w:jc w:val="center"/>
              <w:rPr>
                <w:bCs/>
                <w:color w:val="auto"/>
                <w:sz w:val="20"/>
              </w:rPr>
            </w:pPr>
            <w:r>
              <w:rPr>
                <w:color w:val="auto"/>
                <w:sz w:val="20"/>
                <w:szCs w:val="20"/>
              </w:rPr>
              <w:t>Oxalsäure</w:t>
            </w:r>
          </w:p>
        </w:tc>
        <w:tc>
          <w:tcPr>
            <w:tcW w:w="3177" w:type="dxa"/>
            <w:gridSpan w:val="3"/>
            <w:tcBorders>
              <w:top w:val="single" w:sz="8" w:space="0" w:color="4F81BD"/>
              <w:bottom w:val="single" w:sz="8" w:space="0" w:color="4F81BD"/>
            </w:tcBorders>
            <w:shd w:val="clear" w:color="auto" w:fill="auto"/>
            <w:vAlign w:val="center"/>
          </w:tcPr>
          <w:p w:rsidR="00761B78" w:rsidRPr="00374ABA" w:rsidRDefault="00761B78" w:rsidP="00547291">
            <w:pPr>
              <w:pStyle w:val="Beschriftung"/>
              <w:spacing w:after="0"/>
              <w:jc w:val="center"/>
              <w:rPr>
                <w:sz w:val="20"/>
              </w:rPr>
            </w:pPr>
            <w:r w:rsidRPr="00374ABA">
              <w:rPr>
                <w:sz w:val="20"/>
              </w:rPr>
              <w:t xml:space="preserve">H: </w:t>
            </w:r>
            <w:r>
              <w:rPr>
                <w:sz w:val="20"/>
              </w:rPr>
              <w:t>302- 312- 318</w:t>
            </w:r>
          </w:p>
        </w:tc>
        <w:tc>
          <w:tcPr>
            <w:tcW w:w="3118" w:type="dxa"/>
            <w:gridSpan w:val="3"/>
            <w:tcBorders>
              <w:top w:val="single" w:sz="8" w:space="0" w:color="4F81BD"/>
              <w:bottom w:val="single" w:sz="8" w:space="0" w:color="4F81BD"/>
            </w:tcBorders>
            <w:shd w:val="clear" w:color="auto" w:fill="auto"/>
            <w:vAlign w:val="center"/>
          </w:tcPr>
          <w:p w:rsidR="00761B78" w:rsidRPr="00374ABA" w:rsidRDefault="00761B78" w:rsidP="00547291">
            <w:pPr>
              <w:pStyle w:val="Beschriftung"/>
              <w:spacing w:after="0"/>
              <w:jc w:val="center"/>
              <w:rPr>
                <w:sz w:val="20"/>
              </w:rPr>
            </w:pPr>
            <w:r w:rsidRPr="00374ABA">
              <w:rPr>
                <w:sz w:val="20"/>
              </w:rPr>
              <w:t xml:space="preserve">P: </w:t>
            </w:r>
            <w:r>
              <w:t>280- 264a- 301+ 312- 305+ 351+ 338</w:t>
            </w:r>
          </w:p>
        </w:tc>
      </w:tr>
      <w:tr w:rsidR="00761B78" w:rsidRPr="00374ABA" w:rsidTr="00547291">
        <w:trPr>
          <w:trHeight w:val="434"/>
        </w:trPr>
        <w:tc>
          <w:tcPr>
            <w:tcW w:w="3027" w:type="dxa"/>
            <w:gridSpan w:val="3"/>
            <w:tcBorders>
              <w:top w:val="single" w:sz="8" w:space="0" w:color="4F81BD"/>
              <w:bottom w:val="single" w:sz="8" w:space="0" w:color="4F81BD"/>
            </w:tcBorders>
            <w:shd w:val="clear" w:color="auto" w:fill="auto"/>
            <w:vAlign w:val="center"/>
          </w:tcPr>
          <w:p w:rsidR="00761B78" w:rsidRDefault="00761B78" w:rsidP="00547291">
            <w:pPr>
              <w:spacing w:after="0" w:line="276" w:lineRule="auto"/>
              <w:jc w:val="center"/>
              <w:rPr>
                <w:color w:val="auto"/>
                <w:sz w:val="20"/>
                <w:szCs w:val="20"/>
              </w:rPr>
            </w:pPr>
            <w:r>
              <w:rPr>
                <w:color w:val="auto"/>
                <w:sz w:val="20"/>
                <w:szCs w:val="20"/>
              </w:rPr>
              <w:t>Schwefelsäure</w:t>
            </w:r>
          </w:p>
        </w:tc>
        <w:tc>
          <w:tcPr>
            <w:tcW w:w="3177" w:type="dxa"/>
            <w:gridSpan w:val="3"/>
            <w:tcBorders>
              <w:top w:val="single" w:sz="8" w:space="0" w:color="4F81BD"/>
              <w:bottom w:val="single" w:sz="8" w:space="0" w:color="4F81BD"/>
            </w:tcBorders>
            <w:shd w:val="clear" w:color="auto" w:fill="auto"/>
            <w:vAlign w:val="center"/>
          </w:tcPr>
          <w:p w:rsidR="00761B78" w:rsidRPr="00374ABA" w:rsidRDefault="00761B78" w:rsidP="00547291">
            <w:pPr>
              <w:pStyle w:val="Beschriftung"/>
              <w:spacing w:after="0"/>
              <w:jc w:val="center"/>
              <w:rPr>
                <w:sz w:val="20"/>
              </w:rPr>
            </w:pPr>
            <w:r>
              <w:rPr>
                <w:sz w:val="20"/>
              </w:rPr>
              <w:t>H: 314-290</w:t>
            </w:r>
          </w:p>
        </w:tc>
        <w:tc>
          <w:tcPr>
            <w:tcW w:w="3118" w:type="dxa"/>
            <w:gridSpan w:val="3"/>
            <w:tcBorders>
              <w:top w:val="single" w:sz="8" w:space="0" w:color="4F81BD"/>
              <w:bottom w:val="single" w:sz="8" w:space="0" w:color="4F81BD"/>
            </w:tcBorders>
            <w:shd w:val="clear" w:color="auto" w:fill="auto"/>
            <w:vAlign w:val="center"/>
          </w:tcPr>
          <w:p w:rsidR="00761B78" w:rsidRPr="00374ABA" w:rsidRDefault="00761B78" w:rsidP="00547291">
            <w:pPr>
              <w:pStyle w:val="Beschriftung"/>
              <w:spacing w:after="0"/>
              <w:jc w:val="center"/>
              <w:rPr>
                <w:sz w:val="20"/>
              </w:rPr>
            </w:pPr>
            <w:r>
              <w:rPr>
                <w:sz w:val="20"/>
              </w:rPr>
              <w:t>P: 280- 301+330+331- 305+351+338- 309+310</w:t>
            </w:r>
          </w:p>
        </w:tc>
      </w:tr>
      <w:tr w:rsidR="00761B78" w:rsidRPr="00374ABA" w:rsidTr="00547291">
        <w:tc>
          <w:tcPr>
            <w:tcW w:w="1009" w:type="dxa"/>
            <w:tcBorders>
              <w:top w:val="single" w:sz="8" w:space="0" w:color="4F81BD"/>
              <w:left w:val="single" w:sz="8" w:space="0" w:color="4F81BD"/>
              <w:bottom w:val="single" w:sz="8" w:space="0" w:color="4F81BD"/>
            </w:tcBorders>
            <w:shd w:val="clear" w:color="auto" w:fill="auto"/>
            <w:vAlign w:val="center"/>
          </w:tcPr>
          <w:p w:rsidR="00761B78" w:rsidRPr="00374ABA" w:rsidRDefault="00761B78" w:rsidP="00547291">
            <w:pPr>
              <w:spacing w:after="0"/>
              <w:jc w:val="center"/>
              <w:rPr>
                <w:b/>
                <w:bCs/>
                <w:color w:val="auto"/>
              </w:rPr>
            </w:pPr>
            <w:r w:rsidRPr="00374ABA">
              <w:rPr>
                <w:b/>
                <w:noProof/>
                <w:color w:val="auto"/>
                <w:lang w:eastAsia="de-DE"/>
              </w:rPr>
              <w:drawing>
                <wp:inline distT="0" distB="0" distL="0" distR="0">
                  <wp:extent cx="504190" cy="504190"/>
                  <wp:effectExtent l="19050" t="0" r="0" b="0"/>
                  <wp:docPr id="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61B78" w:rsidRPr="00374ABA" w:rsidRDefault="00761B78" w:rsidP="00547291">
            <w:pPr>
              <w:spacing w:after="0"/>
              <w:jc w:val="center"/>
              <w:rPr>
                <w:color w:val="auto"/>
              </w:rPr>
            </w:pPr>
            <w:r w:rsidRPr="00374ABA">
              <w:rPr>
                <w:noProof/>
                <w:color w:val="auto"/>
                <w:lang w:eastAsia="de-DE"/>
              </w:rPr>
              <w:drawing>
                <wp:inline distT="0" distB="0" distL="0" distR="0">
                  <wp:extent cx="504190" cy="504190"/>
                  <wp:effectExtent l="19050" t="0" r="0" b="0"/>
                  <wp:docPr id="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61B78" w:rsidRPr="00374ABA" w:rsidRDefault="00761B78" w:rsidP="00547291">
            <w:pPr>
              <w:spacing w:after="0"/>
              <w:jc w:val="center"/>
              <w:rPr>
                <w:color w:val="auto"/>
              </w:rPr>
            </w:pPr>
            <w:r w:rsidRPr="00374ABA">
              <w:rPr>
                <w:noProof/>
                <w:color w:val="auto"/>
                <w:lang w:eastAsia="de-DE"/>
              </w:rPr>
              <w:drawing>
                <wp:inline distT="0" distB="0" distL="0" distR="0">
                  <wp:extent cx="504190" cy="504190"/>
                  <wp:effectExtent l="19050" t="0" r="0" b="0"/>
                  <wp:docPr id="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61B78" w:rsidRPr="00374ABA" w:rsidRDefault="00761B78" w:rsidP="00547291">
            <w:pPr>
              <w:spacing w:after="0"/>
              <w:jc w:val="center"/>
              <w:rPr>
                <w:color w:val="auto"/>
              </w:rPr>
            </w:pPr>
            <w:r w:rsidRPr="00374ABA">
              <w:rPr>
                <w:noProof/>
                <w:color w:val="auto"/>
                <w:lang w:eastAsia="de-DE"/>
              </w:rPr>
              <w:drawing>
                <wp:inline distT="0" distB="0" distL="0" distR="0">
                  <wp:extent cx="504190" cy="504190"/>
                  <wp:effectExtent l="0" t="0" r="0" b="0"/>
                  <wp:docPr id="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61B78" w:rsidRPr="00374ABA" w:rsidRDefault="00761B78" w:rsidP="00547291">
            <w:pPr>
              <w:spacing w:after="0"/>
              <w:jc w:val="center"/>
              <w:rPr>
                <w:color w:val="auto"/>
              </w:rPr>
            </w:pPr>
            <w:r w:rsidRPr="00374ABA">
              <w:rPr>
                <w:noProof/>
                <w:color w:val="auto"/>
                <w:lang w:eastAsia="de-DE"/>
              </w:rPr>
              <w:drawing>
                <wp:inline distT="0" distB="0" distL="0" distR="0">
                  <wp:extent cx="504190" cy="504190"/>
                  <wp:effectExtent l="0" t="0" r="0" b="0"/>
                  <wp:docPr id="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61B78" w:rsidRPr="00374ABA" w:rsidRDefault="00761B78" w:rsidP="00547291">
            <w:pPr>
              <w:spacing w:after="0"/>
              <w:jc w:val="center"/>
              <w:rPr>
                <w:color w:val="auto"/>
              </w:rPr>
            </w:pPr>
            <w:r w:rsidRPr="00374ABA">
              <w:rPr>
                <w:noProof/>
                <w:color w:val="auto"/>
                <w:lang w:eastAsia="de-DE"/>
              </w:rPr>
              <w:drawing>
                <wp:inline distT="0" distB="0" distL="0" distR="0">
                  <wp:extent cx="504190" cy="504190"/>
                  <wp:effectExtent l="0" t="0" r="0" b="0"/>
                  <wp:docPr id="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61B78" w:rsidRPr="00374ABA" w:rsidRDefault="00761B78" w:rsidP="00547291">
            <w:pPr>
              <w:spacing w:after="0"/>
              <w:jc w:val="center"/>
              <w:rPr>
                <w:color w:val="auto"/>
              </w:rPr>
            </w:pPr>
            <w:r w:rsidRPr="00374ABA">
              <w:rPr>
                <w:noProof/>
                <w:color w:val="auto"/>
                <w:lang w:eastAsia="de-DE"/>
              </w:rPr>
              <w:drawing>
                <wp:inline distT="0" distB="0" distL="0" distR="0">
                  <wp:extent cx="504190" cy="504190"/>
                  <wp:effectExtent l="0" t="0" r="0" b="0"/>
                  <wp:docPr id="1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61B78" w:rsidRPr="00374ABA" w:rsidRDefault="00761B78" w:rsidP="00547291">
            <w:pPr>
              <w:spacing w:after="0"/>
              <w:jc w:val="center"/>
              <w:rPr>
                <w:color w:val="auto"/>
              </w:rPr>
            </w:pPr>
            <w:r w:rsidRPr="00374ABA">
              <w:rPr>
                <w:noProof/>
                <w:color w:val="auto"/>
                <w:lang w:eastAsia="de-DE"/>
              </w:rPr>
              <w:drawing>
                <wp:inline distT="0" distB="0" distL="0" distR="0">
                  <wp:extent cx="511175" cy="511175"/>
                  <wp:effectExtent l="19050" t="0" r="3175" b="0"/>
                  <wp:docPr id="1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61B78" w:rsidRPr="00374ABA" w:rsidRDefault="00761B78" w:rsidP="00547291">
            <w:pPr>
              <w:spacing w:after="0"/>
              <w:jc w:val="center"/>
              <w:rPr>
                <w:color w:val="auto"/>
              </w:rPr>
            </w:pPr>
            <w:r w:rsidRPr="00374ABA">
              <w:rPr>
                <w:noProof/>
                <w:color w:val="auto"/>
                <w:lang w:eastAsia="de-DE"/>
              </w:rPr>
              <w:drawing>
                <wp:inline distT="0" distB="0" distL="0" distR="0">
                  <wp:extent cx="504190" cy="504190"/>
                  <wp:effectExtent l="19050" t="0" r="0" b="0"/>
                  <wp:docPr id="2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5" cstate="print"/>
                          <a:stretch>
                            <a:fillRect/>
                          </a:stretch>
                        </pic:blipFill>
                        <pic:spPr bwMode="auto">
                          <a:xfrm>
                            <a:off x="0" y="0"/>
                            <a:ext cx="504190" cy="504190"/>
                          </a:xfrm>
                          <a:prstGeom prst="rect">
                            <a:avLst/>
                          </a:prstGeom>
                          <a:noFill/>
                          <a:ln>
                            <a:noFill/>
                          </a:ln>
                        </pic:spPr>
                      </pic:pic>
                    </a:graphicData>
                  </a:graphic>
                </wp:inline>
              </w:drawing>
            </w:r>
          </w:p>
        </w:tc>
      </w:tr>
    </w:tbl>
    <w:p w:rsidR="00761B78" w:rsidRPr="00374ABA" w:rsidRDefault="00761B78" w:rsidP="00761B78">
      <w:pPr>
        <w:tabs>
          <w:tab w:val="left" w:pos="1701"/>
          <w:tab w:val="left" w:pos="1985"/>
        </w:tabs>
        <w:ind w:left="1980" w:hanging="1980"/>
        <w:rPr>
          <w:color w:val="auto"/>
        </w:rPr>
      </w:pPr>
    </w:p>
    <w:p w:rsidR="00761B78" w:rsidRDefault="00761B78" w:rsidP="00761B78">
      <w:pPr>
        <w:tabs>
          <w:tab w:val="left" w:pos="1701"/>
          <w:tab w:val="left" w:pos="1985"/>
        </w:tabs>
        <w:ind w:left="1980" w:hanging="1980"/>
        <w:rPr>
          <w:color w:val="auto"/>
        </w:rPr>
      </w:pPr>
      <w:r w:rsidRPr="00374ABA">
        <w:rPr>
          <w:color w:val="auto"/>
        </w:rPr>
        <w:t xml:space="preserve">Materialien: </w:t>
      </w:r>
      <w:r w:rsidRPr="00374ABA">
        <w:rPr>
          <w:color w:val="auto"/>
        </w:rPr>
        <w:tab/>
      </w:r>
      <w:r w:rsidRPr="00374ABA">
        <w:rPr>
          <w:color w:val="auto"/>
        </w:rPr>
        <w:tab/>
      </w:r>
      <w:r>
        <w:rPr>
          <w:color w:val="auto"/>
        </w:rPr>
        <w:t xml:space="preserve">3 </w:t>
      </w:r>
      <w:proofErr w:type="spellStart"/>
      <w:r>
        <w:rPr>
          <w:color w:val="auto"/>
        </w:rPr>
        <w:t>Messkolben</w:t>
      </w:r>
      <w:proofErr w:type="spellEnd"/>
      <w:r>
        <w:rPr>
          <w:color w:val="auto"/>
        </w:rPr>
        <w:t xml:space="preserve"> (V= 500 </w:t>
      </w:r>
      <w:proofErr w:type="spellStart"/>
      <w:r>
        <w:rPr>
          <w:color w:val="auto"/>
        </w:rPr>
        <w:t>mL</w:t>
      </w:r>
      <w:proofErr w:type="spellEnd"/>
      <w:r>
        <w:rPr>
          <w:color w:val="auto"/>
        </w:rPr>
        <w:t xml:space="preserve">), Messzylinder (V= 500 </w:t>
      </w:r>
      <w:proofErr w:type="spellStart"/>
      <w:r>
        <w:rPr>
          <w:color w:val="auto"/>
        </w:rPr>
        <w:t>mL</w:t>
      </w:r>
      <w:proofErr w:type="spellEnd"/>
      <w:r>
        <w:rPr>
          <w:color w:val="auto"/>
        </w:rPr>
        <w:t xml:space="preserve">), 3 Messzylinder (V= 50 </w:t>
      </w:r>
      <w:proofErr w:type="spellStart"/>
      <w:r>
        <w:rPr>
          <w:color w:val="auto"/>
        </w:rPr>
        <w:t>mL</w:t>
      </w:r>
      <w:proofErr w:type="spellEnd"/>
      <w:r>
        <w:rPr>
          <w:color w:val="auto"/>
        </w:rPr>
        <w:t>), Stoppuhr, ggf. Overheadprojektor</w:t>
      </w:r>
    </w:p>
    <w:p w:rsidR="00761B78" w:rsidRDefault="00761B78" w:rsidP="00761B78">
      <w:pPr>
        <w:tabs>
          <w:tab w:val="left" w:pos="1701"/>
          <w:tab w:val="left" w:pos="1985"/>
        </w:tabs>
        <w:ind w:left="1980" w:hanging="1980"/>
        <w:rPr>
          <w:color w:val="auto"/>
        </w:rPr>
      </w:pPr>
      <w:r>
        <w:rPr>
          <w:color w:val="auto"/>
        </w:rPr>
        <w:tab/>
      </w:r>
      <w:r>
        <w:rPr>
          <w:color w:val="auto"/>
        </w:rPr>
        <w:tab/>
        <w:t xml:space="preserve">für a): 3 Bechergläser (V=800 </w:t>
      </w:r>
      <w:proofErr w:type="spellStart"/>
      <w:r>
        <w:rPr>
          <w:color w:val="auto"/>
        </w:rPr>
        <w:t>mL</w:t>
      </w:r>
      <w:proofErr w:type="spellEnd"/>
      <w:r>
        <w:rPr>
          <w:color w:val="auto"/>
        </w:rPr>
        <w:t xml:space="preserve">) </w:t>
      </w:r>
    </w:p>
    <w:p w:rsidR="00761B78" w:rsidRPr="00374ABA" w:rsidRDefault="00761B78" w:rsidP="00761B78">
      <w:pPr>
        <w:tabs>
          <w:tab w:val="left" w:pos="1701"/>
          <w:tab w:val="left" w:pos="1985"/>
        </w:tabs>
        <w:ind w:left="1980" w:hanging="1980"/>
        <w:rPr>
          <w:color w:val="auto"/>
        </w:rPr>
      </w:pPr>
      <w:r>
        <w:rPr>
          <w:color w:val="auto"/>
        </w:rPr>
        <w:tab/>
      </w:r>
      <w:r>
        <w:rPr>
          <w:color w:val="auto"/>
        </w:rPr>
        <w:tab/>
        <w:t xml:space="preserve">für b): 3 Bechergläser (V= 800 </w:t>
      </w:r>
      <w:proofErr w:type="spellStart"/>
      <w:r>
        <w:rPr>
          <w:color w:val="auto"/>
        </w:rPr>
        <w:t>mL</w:t>
      </w:r>
      <w:proofErr w:type="spellEnd"/>
      <w:r>
        <w:rPr>
          <w:color w:val="auto"/>
        </w:rPr>
        <w:t>), Thermometer, Heizplatte, Plastikschü</w:t>
      </w:r>
      <w:r>
        <w:rPr>
          <w:color w:val="auto"/>
        </w:rPr>
        <w:t>s</w:t>
      </w:r>
      <w:r>
        <w:rPr>
          <w:color w:val="auto"/>
        </w:rPr>
        <w:t>sel</w:t>
      </w:r>
    </w:p>
    <w:p w:rsidR="00761B78" w:rsidRDefault="00761B78" w:rsidP="00761B78">
      <w:pPr>
        <w:tabs>
          <w:tab w:val="left" w:pos="1701"/>
          <w:tab w:val="left" w:pos="1985"/>
        </w:tabs>
        <w:ind w:left="1980" w:hanging="1980"/>
        <w:rPr>
          <w:color w:val="auto"/>
        </w:rPr>
      </w:pPr>
      <w:r w:rsidRPr="00374ABA">
        <w:rPr>
          <w:color w:val="auto"/>
        </w:rPr>
        <w:t>Chemikalien:</w:t>
      </w:r>
      <w:r w:rsidRPr="00374ABA">
        <w:rPr>
          <w:color w:val="auto"/>
        </w:rPr>
        <w:tab/>
      </w:r>
      <w:r w:rsidRPr="00374ABA">
        <w:rPr>
          <w:color w:val="auto"/>
        </w:rPr>
        <w:tab/>
      </w:r>
      <w:r>
        <w:rPr>
          <w:color w:val="auto"/>
        </w:rPr>
        <w:t>Kaliumpermanganat, Oxalsäure, Schwefelsäure (konzentriert)</w:t>
      </w:r>
    </w:p>
    <w:p w:rsidR="00761B78" w:rsidRPr="00374ABA" w:rsidRDefault="00761B78" w:rsidP="00761B78">
      <w:pPr>
        <w:tabs>
          <w:tab w:val="left" w:pos="1701"/>
          <w:tab w:val="left" w:pos="1985"/>
        </w:tabs>
        <w:ind w:left="1980" w:hanging="1980"/>
        <w:rPr>
          <w:color w:val="auto"/>
        </w:rPr>
      </w:pPr>
      <w:r>
        <w:rPr>
          <w:color w:val="auto"/>
        </w:rPr>
        <w:tab/>
      </w:r>
      <w:r>
        <w:rPr>
          <w:color w:val="auto"/>
        </w:rPr>
        <w:tab/>
        <w:t>für b) Eis</w:t>
      </w:r>
    </w:p>
    <w:p w:rsidR="00761B78" w:rsidRDefault="00761B78" w:rsidP="00761B78">
      <w:pPr>
        <w:tabs>
          <w:tab w:val="left" w:pos="1701"/>
          <w:tab w:val="left" w:pos="1985"/>
        </w:tabs>
        <w:ind w:left="1980" w:hanging="1980"/>
        <w:rPr>
          <w:color w:val="auto"/>
        </w:rPr>
      </w:pPr>
      <w:r w:rsidRPr="00374ABA">
        <w:rPr>
          <w:color w:val="auto"/>
        </w:rPr>
        <w:lastRenderedPageBreak/>
        <w:t xml:space="preserve">Durchführung: </w:t>
      </w:r>
      <w:r w:rsidRPr="00374ABA">
        <w:rPr>
          <w:color w:val="auto"/>
        </w:rPr>
        <w:tab/>
      </w:r>
      <w:r w:rsidRPr="00374ABA">
        <w:rPr>
          <w:color w:val="auto"/>
        </w:rPr>
        <w:tab/>
      </w:r>
      <w:r w:rsidRPr="00374ABA">
        <w:rPr>
          <w:color w:val="auto"/>
        </w:rPr>
        <w:tab/>
      </w:r>
      <w:r>
        <w:rPr>
          <w:color w:val="auto"/>
        </w:rPr>
        <w:t>Vorbereitung (sollte aus Zeitgründen vor der Stunde vorgenommen we</w:t>
      </w:r>
      <w:r>
        <w:rPr>
          <w:color w:val="auto"/>
        </w:rPr>
        <w:t>r</w:t>
      </w:r>
      <w:r>
        <w:rPr>
          <w:color w:val="auto"/>
        </w:rPr>
        <w:t>den):</w:t>
      </w:r>
    </w:p>
    <w:p w:rsidR="00761B78" w:rsidRDefault="00761B78" w:rsidP="00761B78">
      <w:pPr>
        <w:tabs>
          <w:tab w:val="left" w:pos="1701"/>
          <w:tab w:val="left" w:pos="1985"/>
        </w:tabs>
        <w:ind w:left="1980" w:hanging="1980"/>
        <w:rPr>
          <w:color w:val="auto"/>
        </w:rPr>
      </w:pPr>
      <w:r>
        <w:rPr>
          <w:color w:val="auto"/>
        </w:rPr>
        <w:tab/>
      </w:r>
      <w:r>
        <w:rPr>
          <w:color w:val="auto"/>
        </w:rPr>
        <w:tab/>
        <w:t xml:space="preserve">Zunächst werden drei Lösungen mit den gebrauchten Stoffen angesetzt. Hierzu wird die in Tabelle 2.1 beschriebene Menge des Stoffes eingewogen und im </w:t>
      </w:r>
      <w:proofErr w:type="spellStart"/>
      <w:r>
        <w:rPr>
          <w:color w:val="auto"/>
        </w:rPr>
        <w:t>Messkolben</w:t>
      </w:r>
      <w:proofErr w:type="spellEnd"/>
      <w:r>
        <w:rPr>
          <w:color w:val="auto"/>
        </w:rPr>
        <w:t xml:space="preserve"> auf 500 </w:t>
      </w:r>
      <w:proofErr w:type="spellStart"/>
      <w:r>
        <w:rPr>
          <w:color w:val="auto"/>
        </w:rPr>
        <w:t>mL</w:t>
      </w:r>
      <w:proofErr w:type="spellEnd"/>
      <w:r>
        <w:rPr>
          <w:color w:val="auto"/>
        </w:rPr>
        <w:t xml:space="preserve"> aufgefüllt. Bei der Schwefelsäure sollten zunächst 100 </w:t>
      </w:r>
      <w:proofErr w:type="spellStart"/>
      <w:r>
        <w:rPr>
          <w:color w:val="auto"/>
        </w:rPr>
        <w:t>mL</w:t>
      </w:r>
      <w:proofErr w:type="spellEnd"/>
      <w:r>
        <w:rPr>
          <w:color w:val="auto"/>
        </w:rPr>
        <w:t xml:space="preserve"> Wasser mit der Säure versetzt werden und erst nach a</w:t>
      </w:r>
      <w:r>
        <w:rPr>
          <w:color w:val="auto"/>
        </w:rPr>
        <w:t>b</w:t>
      </w:r>
      <w:r>
        <w:rPr>
          <w:color w:val="auto"/>
        </w:rPr>
        <w:t>kühlen sollte weiteres Wasser hinzugegeben werden.</w:t>
      </w:r>
    </w:p>
    <w:tbl>
      <w:tblPr>
        <w:tblStyle w:val="Tabellengitternetz"/>
        <w:tblW w:w="0" w:type="auto"/>
        <w:tblInd w:w="1980" w:type="dxa"/>
        <w:tblLook w:val="04A0"/>
      </w:tblPr>
      <w:tblGrid>
        <w:gridCol w:w="2437"/>
        <w:gridCol w:w="3629"/>
      </w:tblGrid>
      <w:tr w:rsidR="00761B78" w:rsidTr="00547291">
        <w:tc>
          <w:tcPr>
            <w:tcW w:w="2437" w:type="dxa"/>
          </w:tcPr>
          <w:p w:rsidR="00761B78" w:rsidRDefault="00761B78" w:rsidP="00547291">
            <w:pPr>
              <w:tabs>
                <w:tab w:val="left" w:pos="1701"/>
                <w:tab w:val="left" w:pos="1985"/>
              </w:tabs>
              <w:rPr>
                <w:color w:val="auto"/>
              </w:rPr>
            </w:pPr>
            <w:r>
              <w:rPr>
                <w:color w:val="auto"/>
              </w:rPr>
              <w:t>Stoff</w:t>
            </w:r>
          </w:p>
        </w:tc>
        <w:tc>
          <w:tcPr>
            <w:tcW w:w="3629" w:type="dxa"/>
          </w:tcPr>
          <w:p w:rsidR="00761B78" w:rsidRDefault="00761B78" w:rsidP="00547291">
            <w:pPr>
              <w:tabs>
                <w:tab w:val="left" w:pos="1701"/>
                <w:tab w:val="left" w:pos="1985"/>
              </w:tabs>
              <w:rPr>
                <w:color w:val="auto"/>
              </w:rPr>
            </w:pPr>
            <w:r>
              <w:rPr>
                <w:color w:val="auto"/>
              </w:rPr>
              <w:t>Masse/ Volumen des Stoffes</w:t>
            </w:r>
          </w:p>
        </w:tc>
      </w:tr>
      <w:tr w:rsidR="00761B78" w:rsidTr="00547291">
        <w:tc>
          <w:tcPr>
            <w:tcW w:w="2437" w:type="dxa"/>
          </w:tcPr>
          <w:p w:rsidR="00761B78" w:rsidRDefault="00761B78" w:rsidP="00547291">
            <w:pPr>
              <w:tabs>
                <w:tab w:val="left" w:pos="1701"/>
                <w:tab w:val="left" w:pos="1985"/>
              </w:tabs>
              <w:rPr>
                <w:color w:val="auto"/>
              </w:rPr>
            </w:pPr>
            <w:r>
              <w:rPr>
                <w:color w:val="auto"/>
              </w:rPr>
              <w:t>Kaliumpermanganat</w:t>
            </w:r>
          </w:p>
        </w:tc>
        <w:tc>
          <w:tcPr>
            <w:tcW w:w="3629" w:type="dxa"/>
          </w:tcPr>
          <w:p w:rsidR="00761B78" w:rsidRPr="00E97F1D" w:rsidRDefault="00761B78" w:rsidP="00547291">
            <w:pPr>
              <w:tabs>
                <w:tab w:val="left" w:pos="1701"/>
                <w:tab w:val="left" w:pos="1985"/>
              </w:tabs>
              <w:rPr>
                <w:color w:val="auto"/>
              </w:rPr>
            </w:pPr>
            <w:r>
              <w:rPr>
                <w:color w:val="auto"/>
              </w:rPr>
              <w:t>m(KMnO</w:t>
            </w:r>
            <w:r>
              <w:rPr>
                <w:color w:val="auto"/>
                <w:vertAlign w:val="subscript"/>
              </w:rPr>
              <w:t>4</w:t>
            </w:r>
            <w:r>
              <w:rPr>
                <w:color w:val="auto"/>
              </w:rPr>
              <w:t>) = 3 g</w:t>
            </w:r>
          </w:p>
        </w:tc>
      </w:tr>
      <w:tr w:rsidR="00761B78" w:rsidTr="00547291">
        <w:tc>
          <w:tcPr>
            <w:tcW w:w="2437" w:type="dxa"/>
          </w:tcPr>
          <w:p w:rsidR="00761B78" w:rsidRDefault="00761B78" w:rsidP="00547291">
            <w:pPr>
              <w:tabs>
                <w:tab w:val="left" w:pos="1701"/>
                <w:tab w:val="left" w:pos="1985"/>
              </w:tabs>
              <w:rPr>
                <w:color w:val="auto"/>
              </w:rPr>
            </w:pPr>
            <w:r>
              <w:rPr>
                <w:color w:val="auto"/>
              </w:rPr>
              <w:t>Oxalsäure</w:t>
            </w:r>
          </w:p>
        </w:tc>
        <w:tc>
          <w:tcPr>
            <w:tcW w:w="3629" w:type="dxa"/>
          </w:tcPr>
          <w:p w:rsidR="00761B78" w:rsidRPr="00E97F1D" w:rsidRDefault="00761B78" w:rsidP="00547291">
            <w:pPr>
              <w:tabs>
                <w:tab w:val="left" w:pos="1701"/>
                <w:tab w:val="left" w:pos="1985"/>
              </w:tabs>
              <w:rPr>
                <w:color w:val="auto"/>
              </w:rPr>
            </w:pPr>
            <w:r>
              <w:rPr>
                <w:color w:val="auto"/>
              </w:rPr>
              <w:t>m(C</w:t>
            </w:r>
            <w:r>
              <w:rPr>
                <w:color w:val="auto"/>
                <w:vertAlign w:val="subscript"/>
              </w:rPr>
              <w:t>2</w:t>
            </w:r>
            <w:r>
              <w:rPr>
                <w:color w:val="auto"/>
              </w:rPr>
              <w:t>H</w:t>
            </w:r>
            <w:r>
              <w:rPr>
                <w:color w:val="auto"/>
                <w:vertAlign w:val="subscript"/>
              </w:rPr>
              <w:t>2</w:t>
            </w:r>
            <w:r>
              <w:rPr>
                <w:color w:val="auto"/>
              </w:rPr>
              <w:t>O</w:t>
            </w:r>
            <w:r>
              <w:rPr>
                <w:color w:val="auto"/>
                <w:vertAlign w:val="subscript"/>
              </w:rPr>
              <w:t>4</w:t>
            </w:r>
            <w:r>
              <w:rPr>
                <w:color w:val="auto"/>
              </w:rPr>
              <w:t>) = 31,5 g</w:t>
            </w:r>
          </w:p>
        </w:tc>
      </w:tr>
      <w:tr w:rsidR="00761B78" w:rsidTr="00547291">
        <w:tc>
          <w:tcPr>
            <w:tcW w:w="2437" w:type="dxa"/>
          </w:tcPr>
          <w:p w:rsidR="00761B78" w:rsidRDefault="00761B78" w:rsidP="00547291">
            <w:pPr>
              <w:tabs>
                <w:tab w:val="left" w:pos="1701"/>
                <w:tab w:val="left" w:pos="1985"/>
              </w:tabs>
              <w:rPr>
                <w:color w:val="auto"/>
              </w:rPr>
            </w:pPr>
            <w:r>
              <w:rPr>
                <w:color w:val="auto"/>
              </w:rPr>
              <w:t>Schwefelsäure</w:t>
            </w:r>
          </w:p>
        </w:tc>
        <w:tc>
          <w:tcPr>
            <w:tcW w:w="3629" w:type="dxa"/>
          </w:tcPr>
          <w:p w:rsidR="00761B78" w:rsidRPr="00E97F1D" w:rsidRDefault="00761B78" w:rsidP="00547291">
            <w:pPr>
              <w:tabs>
                <w:tab w:val="left" w:pos="1701"/>
                <w:tab w:val="left" w:pos="1985"/>
              </w:tabs>
              <w:rPr>
                <w:color w:val="auto"/>
              </w:rPr>
            </w:pPr>
            <w:r>
              <w:rPr>
                <w:color w:val="auto"/>
              </w:rPr>
              <w:t>V(H</w:t>
            </w:r>
            <w:r>
              <w:rPr>
                <w:color w:val="auto"/>
                <w:vertAlign w:val="subscript"/>
              </w:rPr>
              <w:t>2</w:t>
            </w:r>
            <w:r>
              <w:rPr>
                <w:color w:val="auto"/>
              </w:rPr>
              <w:t>SO</w:t>
            </w:r>
            <w:r>
              <w:rPr>
                <w:color w:val="auto"/>
                <w:vertAlign w:val="subscript"/>
              </w:rPr>
              <w:t>4</w:t>
            </w:r>
            <w:r>
              <w:rPr>
                <w:color w:val="auto"/>
              </w:rPr>
              <w:t xml:space="preserve">) = 125 </w:t>
            </w:r>
            <w:proofErr w:type="spellStart"/>
            <w:r>
              <w:rPr>
                <w:color w:val="auto"/>
              </w:rPr>
              <w:t>mL</w:t>
            </w:r>
            <w:proofErr w:type="spellEnd"/>
          </w:p>
        </w:tc>
      </w:tr>
    </w:tbl>
    <w:p w:rsidR="00761B78" w:rsidRDefault="00761B78" w:rsidP="00761B78">
      <w:pPr>
        <w:tabs>
          <w:tab w:val="left" w:pos="1701"/>
          <w:tab w:val="left" w:pos="1985"/>
        </w:tabs>
        <w:ind w:left="1980" w:hanging="1980"/>
        <w:rPr>
          <w:color w:val="auto"/>
          <w:sz w:val="18"/>
          <w:szCs w:val="18"/>
        </w:rPr>
      </w:pPr>
      <w:r w:rsidRPr="00374ABA">
        <w:rPr>
          <w:color w:val="auto"/>
        </w:rPr>
        <w:t xml:space="preserve"> </w:t>
      </w:r>
      <w:r>
        <w:rPr>
          <w:color w:val="auto"/>
        </w:rPr>
        <w:tab/>
      </w:r>
      <w:r>
        <w:rPr>
          <w:color w:val="auto"/>
        </w:rPr>
        <w:tab/>
      </w:r>
      <w:r>
        <w:rPr>
          <w:color w:val="auto"/>
          <w:sz w:val="18"/>
          <w:szCs w:val="18"/>
        </w:rPr>
        <w:t xml:space="preserve">Tabelle 2.1 Einwaagen der Stoffe zur Herstellung von 500 </w:t>
      </w:r>
      <w:proofErr w:type="spellStart"/>
      <w:r>
        <w:rPr>
          <w:color w:val="auto"/>
          <w:sz w:val="18"/>
          <w:szCs w:val="18"/>
        </w:rPr>
        <w:t>mL</w:t>
      </w:r>
      <w:proofErr w:type="spellEnd"/>
      <w:r>
        <w:rPr>
          <w:color w:val="auto"/>
          <w:sz w:val="18"/>
          <w:szCs w:val="18"/>
        </w:rPr>
        <w:t xml:space="preserve"> Lösung</w:t>
      </w:r>
    </w:p>
    <w:p w:rsidR="00761B78" w:rsidRPr="00BB5509" w:rsidRDefault="00761B78" w:rsidP="00761B78">
      <w:pPr>
        <w:tabs>
          <w:tab w:val="left" w:pos="1701"/>
          <w:tab w:val="left" w:pos="1985"/>
        </w:tabs>
        <w:ind w:left="1980" w:hanging="1980"/>
        <w:rPr>
          <w:color w:val="auto"/>
        </w:rPr>
      </w:pPr>
      <w:r>
        <w:rPr>
          <w:color w:val="auto"/>
        </w:rPr>
        <w:tab/>
      </w:r>
      <w:r>
        <w:rPr>
          <w:color w:val="auto"/>
        </w:rPr>
        <w:tab/>
        <w:t>Anmerkung: Wird dieser Versuch, wie hier empfohlen, als Lehrerversuch durchgeführt, so sollte man mindestens zwei Messungen machen, um den SuS einerseits klar zu machen, dass ihre Ergebnisse fehlerbehaftet sind und um zu zeigen, dass man um die Genauigkeit zu erhöhen den Mittelwert aus mehreren Messungen bildet.</w:t>
      </w:r>
    </w:p>
    <w:p w:rsidR="00761B78" w:rsidRPr="00301030" w:rsidRDefault="00761B78" w:rsidP="00761B78">
      <w:pPr>
        <w:tabs>
          <w:tab w:val="left" w:pos="1701"/>
          <w:tab w:val="left" w:pos="1985"/>
        </w:tabs>
        <w:ind w:left="1980" w:hanging="1980"/>
        <w:rPr>
          <w:color w:val="auto"/>
          <w:u w:val="single"/>
        </w:rPr>
      </w:pPr>
      <w:r>
        <w:rPr>
          <w:color w:val="auto"/>
        </w:rPr>
        <w:tab/>
      </w:r>
      <w:r>
        <w:rPr>
          <w:color w:val="auto"/>
        </w:rPr>
        <w:tab/>
      </w:r>
      <w:r w:rsidRPr="00301030">
        <w:rPr>
          <w:color w:val="auto"/>
          <w:u w:val="single"/>
        </w:rPr>
        <w:t>Durchführung Teil a):</w:t>
      </w:r>
    </w:p>
    <w:p w:rsidR="00761B78" w:rsidRDefault="00761B78" w:rsidP="00761B78">
      <w:pPr>
        <w:tabs>
          <w:tab w:val="left" w:pos="1701"/>
          <w:tab w:val="left" w:pos="1985"/>
        </w:tabs>
        <w:ind w:left="1980" w:hanging="1980"/>
        <w:rPr>
          <w:color w:val="auto"/>
        </w:rPr>
      </w:pPr>
      <w:r>
        <w:rPr>
          <w:color w:val="auto"/>
        </w:rPr>
        <w:tab/>
      </w:r>
      <w:r>
        <w:rPr>
          <w:color w:val="auto"/>
        </w:rPr>
        <w:tab/>
        <w:t xml:space="preserve">In drei Bechergläsern werden jeweils 25 </w:t>
      </w:r>
      <w:proofErr w:type="spellStart"/>
      <w:r>
        <w:rPr>
          <w:color w:val="auto"/>
        </w:rPr>
        <w:t>mL</w:t>
      </w:r>
      <w:proofErr w:type="spellEnd"/>
      <w:r>
        <w:rPr>
          <w:color w:val="auto"/>
        </w:rPr>
        <w:t xml:space="preserve"> der Oxalsäure-Lösung mit 50 </w:t>
      </w:r>
      <w:proofErr w:type="spellStart"/>
      <w:r>
        <w:rPr>
          <w:color w:val="auto"/>
        </w:rPr>
        <w:t>mL</w:t>
      </w:r>
      <w:proofErr w:type="spellEnd"/>
      <w:r>
        <w:rPr>
          <w:color w:val="auto"/>
        </w:rPr>
        <w:t xml:space="preserve"> der Schwefelsäurelösung gemischt. Nun wird die Lösung in einem der Bechergläser mit 250 </w:t>
      </w:r>
      <w:proofErr w:type="spellStart"/>
      <w:r>
        <w:rPr>
          <w:color w:val="auto"/>
        </w:rPr>
        <w:t>mL</w:t>
      </w:r>
      <w:proofErr w:type="spellEnd"/>
      <w:r>
        <w:rPr>
          <w:color w:val="auto"/>
        </w:rPr>
        <w:t xml:space="preserve"> destilliertem Wasser verdünnt, eine andere mit 500 </w:t>
      </w:r>
      <w:proofErr w:type="spellStart"/>
      <w:r>
        <w:rPr>
          <w:color w:val="auto"/>
        </w:rPr>
        <w:t>mL</w:t>
      </w:r>
      <w:proofErr w:type="spellEnd"/>
      <w:r>
        <w:rPr>
          <w:color w:val="auto"/>
        </w:rPr>
        <w:t xml:space="preserve"> destilliertem Wasser. Die dritte Lösung behält die Anfangskonzen</w:t>
      </w:r>
      <w:r>
        <w:rPr>
          <w:color w:val="auto"/>
        </w:rPr>
        <w:t>t</w:t>
      </w:r>
      <w:r>
        <w:rPr>
          <w:color w:val="auto"/>
        </w:rPr>
        <w:t xml:space="preserve">ration bei. </w:t>
      </w:r>
    </w:p>
    <w:p w:rsidR="00761B78" w:rsidRDefault="00761B78" w:rsidP="00761B78">
      <w:pPr>
        <w:tabs>
          <w:tab w:val="left" w:pos="1701"/>
          <w:tab w:val="left" w:pos="1985"/>
        </w:tabs>
        <w:ind w:left="1980" w:hanging="1980"/>
        <w:rPr>
          <w:color w:val="auto"/>
        </w:rPr>
      </w:pPr>
      <w:r>
        <w:rPr>
          <w:color w:val="auto"/>
        </w:rPr>
        <w:tab/>
      </w:r>
      <w:r>
        <w:rPr>
          <w:color w:val="auto"/>
        </w:rPr>
        <w:tab/>
        <w:t xml:space="preserve">Nun werden je drei Messzylinder mit jeweils 20 </w:t>
      </w:r>
      <w:proofErr w:type="spellStart"/>
      <w:r>
        <w:rPr>
          <w:color w:val="auto"/>
        </w:rPr>
        <w:t>mL</w:t>
      </w:r>
      <w:proofErr w:type="spellEnd"/>
      <w:r>
        <w:rPr>
          <w:color w:val="auto"/>
        </w:rPr>
        <w:t xml:space="preserve"> Kaliumpermanganat-Lösung gefüllt. Die drei Säure-Lösungen werden nun </w:t>
      </w:r>
      <w:r>
        <w:rPr>
          <w:b/>
          <w:i/>
          <w:color w:val="auto"/>
        </w:rPr>
        <w:t>gleichzeitig</w:t>
      </w:r>
      <w:r>
        <w:rPr>
          <w:caps/>
          <w:color w:val="auto"/>
        </w:rPr>
        <w:t xml:space="preserve"> </w:t>
      </w:r>
      <w:r>
        <w:rPr>
          <w:color w:val="auto"/>
        </w:rPr>
        <w:t>mit der Kaliumpermanganat-Lösung versetzt und die Zeit bis zur Entfärbung g</w:t>
      </w:r>
      <w:r>
        <w:rPr>
          <w:color w:val="auto"/>
        </w:rPr>
        <w:t>e</w:t>
      </w:r>
      <w:r>
        <w:rPr>
          <w:color w:val="auto"/>
        </w:rPr>
        <w:t xml:space="preserve">messen und dokumentiert. Die Entfärbung wird besonders deutlich, wenn die Bechergläser auf den Overheadprojektor gestellt werden. </w:t>
      </w:r>
    </w:p>
    <w:p w:rsidR="00761B78" w:rsidRDefault="00761B78" w:rsidP="00761B78">
      <w:pPr>
        <w:tabs>
          <w:tab w:val="left" w:pos="1701"/>
          <w:tab w:val="left" w:pos="1985"/>
        </w:tabs>
        <w:ind w:left="1980" w:hanging="1980"/>
        <w:rPr>
          <w:color w:val="auto"/>
          <w:u w:val="single"/>
        </w:rPr>
      </w:pPr>
      <w:r>
        <w:rPr>
          <w:color w:val="auto"/>
        </w:rPr>
        <w:tab/>
      </w:r>
      <w:r>
        <w:rPr>
          <w:color w:val="auto"/>
        </w:rPr>
        <w:tab/>
      </w:r>
      <w:r w:rsidRPr="00B10A8C">
        <w:rPr>
          <w:color w:val="auto"/>
          <w:u w:val="single"/>
        </w:rPr>
        <w:t>Durchführung Teil b</w:t>
      </w:r>
    </w:p>
    <w:p w:rsidR="00761B78" w:rsidRPr="00B10A8C" w:rsidRDefault="00761B78" w:rsidP="00761B78">
      <w:pPr>
        <w:tabs>
          <w:tab w:val="left" w:pos="1701"/>
          <w:tab w:val="left" w:pos="1985"/>
        </w:tabs>
        <w:ind w:left="1980" w:hanging="1980"/>
        <w:rPr>
          <w:color w:val="auto"/>
        </w:rPr>
      </w:pPr>
      <w:r>
        <w:rPr>
          <w:color w:val="auto"/>
        </w:rPr>
        <w:tab/>
      </w:r>
      <w:r>
        <w:rPr>
          <w:color w:val="auto"/>
        </w:rPr>
        <w:tab/>
        <w:t xml:space="preserve">In 3 Bechergläsern wird ein Gemisch von jeweils 25 </w:t>
      </w:r>
      <w:proofErr w:type="spellStart"/>
      <w:r>
        <w:rPr>
          <w:color w:val="auto"/>
        </w:rPr>
        <w:t>mL</w:t>
      </w:r>
      <w:proofErr w:type="spellEnd"/>
      <w:r>
        <w:rPr>
          <w:color w:val="auto"/>
        </w:rPr>
        <w:t xml:space="preserve"> Oxalsäure-Lösung und 50 </w:t>
      </w:r>
      <w:proofErr w:type="spellStart"/>
      <w:r>
        <w:rPr>
          <w:color w:val="auto"/>
        </w:rPr>
        <w:t>mL</w:t>
      </w:r>
      <w:proofErr w:type="spellEnd"/>
      <w:r>
        <w:rPr>
          <w:color w:val="auto"/>
        </w:rPr>
        <w:t xml:space="preserve"> der Schwefelsäure-Lösung sowie 250 </w:t>
      </w:r>
      <w:proofErr w:type="spellStart"/>
      <w:r>
        <w:rPr>
          <w:color w:val="auto"/>
        </w:rPr>
        <w:t>mL</w:t>
      </w:r>
      <w:proofErr w:type="spellEnd"/>
      <w:r>
        <w:rPr>
          <w:color w:val="auto"/>
        </w:rPr>
        <w:t xml:space="preserve"> destilliertem Wasser hergestellt. Man erwärmt nun ein Becherglas um 20 °C und kühlt ein and</w:t>
      </w:r>
      <w:r>
        <w:rPr>
          <w:color w:val="auto"/>
        </w:rPr>
        <w:t>e</w:t>
      </w:r>
      <w:r>
        <w:rPr>
          <w:color w:val="auto"/>
        </w:rPr>
        <w:t xml:space="preserve">res um 20 °C ab. Das dritte bleibt als Referenzprobe bei </w:t>
      </w:r>
      <w:r>
        <w:rPr>
          <w:color w:val="auto"/>
        </w:rPr>
        <w:lastRenderedPageBreak/>
        <w:t>Raumtemperatur. Wenn die drei Lösungen die gewünschte Temperatur haben, gibt man wi</w:t>
      </w:r>
      <w:r>
        <w:rPr>
          <w:color w:val="auto"/>
        </w:rPr>
        <w:t>e</w:t>
      </w:r>
      <w:r>
        <w:rPr>
          <w:color w:val="auto"/>
        </w:rPr>
        <w:t xml:space="preserve">der gleichzeitig jeweils 20 </w:t>
      </w:r>
      <w:proofErr w:type="spellStart"/>
      <w:r>
        <w:rPr>
          <w:color w:val="auto"/>
        </w:rPr>
        <w:t>mL</w:t>
      </w:r>
      <w:proofErr w:type="spellEnd"/>
      <w:r>
        <w:rPr>
          <w:color w:val="auto"/>
        </w:rPr>
        <w:t xml:space="preserve"> Kaliumpermanganat-Lösung hinzu und stoppt die Zeit bis zur Entfärbung. </w:t>
      </w:r>
    </w:p>
    <w:p w:rsidR="00761B78" w:rsidRDefault="00761B78" w:rsidP="00761B78">
      <w:pPr>
        <w:tabs>
          <w:tab w:val="left" w:pos="1701"/>
          <w:tab w:val="left" w:pos="1985"/>
        </w:tabs>
        <w:ind w:left="1980" w:hanging="1980"/>
        <w:rPr>
          <w:color w:val="auto"/>
        </w:rPr>
      </w:pPr>
      <w:r w:rsidRPr="00374ABA">
        <w:rPr>
          <w:color w:val="auto"/>
        </w:rPr>
        <w:t>Beobachtung:</w:t>
      </w:r>
      <w:r w:rsidRPr="00374ABA">
        <w:rPr>
          <w:color w:val="auto"/>
        </w:rPr>
        <w:tab/>
      </w:r>
      <w:r w:rsidRPr="00374ABA">
        <w:rPr>
          <w:color w:val="auto"/>
        </w:rPr>
        <w:tab/>
      </w:r>
      <w:r w:rsidRPr="00374ABA">
        <w:rPr>
          <w:color w:val="auto"/>
        </w:rPr>
        <w:tab/>
      </w:r>
      <w:r>
        <w:rPr>
          <w:color w:val="auto"/>
        </w:rPr>
        <w:t>Bei Zugabe der Kaliumpermanganat-Lösung färben sich alle Lösungen lila. Nach einiger Zeit entfärben sich die Lösungen, wofür sie jedoch unte</w:t>
      </w:r>
      <w:r>
        <w:rPr>
          <w:color w:val="auto"/>
        </w:rPr>
        <w:t>r</w:t>
      </w:r>
      <w:r>
        <w:rPr>
          <w:color w:val="auto"/>
        </w:rPr>
        <w:t>schiedlich lange brauchen.</w:t>
      </w:r>
    </w:p>
    <w:tbl>
      <w:tblPr>
        <w:tblStyle w:val="Tabellengitternetz"/>
        <w:tblW w:w="0" w:type="auto"/>
        <w:tblInd w:w="1980" w:type="dxa"/>
        <w:tblLook w:val="04A0"/>
      </w:tblPr>
      <w:tblGrid>
        <w:gridCol w:w="3212"/>
        <w:gridCol w:w="2048"/>
        <w:gridCol w:w="2048"/>
      </w:tblGrid>
      <w:tr w:rsidR="00761B78" w:rsidTr="00547291">
        <w:tc>
          <w:tcPr>
            <w:tcW w:w="3212" w:type="dxa"/>
          </w:tcPr>
          <w:p w:rsidR="00761B78" w:rsidRDefault="00761B78" w:rsidP="00547291">
            <w:pPr>
              <w:tabs>
                <w:tab w:val="left" w:pos="1701"/>
                <w:tab w:val="left" w:pos="1985"/>
              </w:tabs>
              <w:rPr>
                <w:color w:val="auto"/>
              </w:rPr>
            </w:pPr>
            <w:r>
              <w:rPr>
                <w:color w:val="auto"/>
              </w:rPr>
              <w:t>c(KMnO</w:t>
            </w:r>
            <w:r>
              <w:rPr>
                <w:color w:val="auto"/>
                <w:vertAlign w:val="subscript"/>
              </w:rPr>
              <w:t>4</w:t>
            </w:r>
            <w:r>
              <w:rPr>
                <w:color w:val="auto"/>
              </w:rPr>
              <w:t xml:space="preserve">) in der Lösung in </w:t>
            </w:r>
            <w:proofErr w:type="spellStart"/>
            <w:r>
              <w:rPr>
                <w:color w:val="auto"/>
              </w:rPr>
              <w:t>mmol</w:t>
            </w:r>
            <w:proofErr w:type="spellEnd"/>
            <w:r>
              <w:rPr>
                <w:color w:val="auto"/>
              </w:rPr>
              <w:t>/L</w:t>
            </w:r>
          </w:p>
        </w:tc>
        <w:tc>
          <w:tcPr>
            <w:tcW w:w="2048" w:type="dxa"/>
          </w:tcPr>
          <w:p w:rsidR="00761B78" w:rsidRDefault="00761B78" w:rsidP="00547291">
            <w:pPr>
              <w:tabs>
                <w:tab w:val="left" w:pos="1701"/>
                <w:tab w:val="left" w:pos="1985"/>
              </w:tabs>
              <w:rPr>
                <w:color w:val="auto"/>
              </w:rPr>
            </w:pPr>
            <w:r>
              <w:rPr>
                <w:color w:val="auto"/>
              </w:rPr>
              <w:t>Temperatur der Lösung in ° C</w:t>
            </w:r>
          </w:p>
        </w:tc>
        <w:tc>
          <w:tcPr>
            <w:tcW w:w="2048" w:type="dxa"/>
          </w:tcPr>
          <w:p w:rsidR="00761B78" w:rsidRDefault="00761B78" w:rsidP="00547291">
            <w:pPr>
              <w:tabs>
                <w:tab w:val="left" w:pos="1701"/>
                <w:tab w:val="left" w:pos="1985"/>
              </w:tabs>
              <w:rPr>
                <w:color w:val="auto"/>
              </w:rPr>
            </w:pPr>
            <w:r>
              <w:rPr>
                <w:color w:val="auto"/>
              </w:rPr>
              <w:t>Zeit bis zum Farbumschlag in S</w:t>
            </w:r>
            <w:r>
              <w:rPr>
                <w:color w:val="auto"/>
              </w:rPr>
              <w:t>e</w:t>
            </w:r>
            <w:r>
              <w:rPr>
                <w:color w:val="auto"/>
              </w:rPr>
              <w:t>kunden</w:t>
            </w:r>
          </w:p>
        </w:tc>
      </w:tr>
      <w:tr w:rsidR="00761B78" w:rsidTr="00547291">
        <w:tc>
          <w:tcPr>
            <w:tcW w:w="7308" w:type="dxa"/>
            <w:gridSpan w:val="3"/>
          </w:tcPr>
          <w:p w:rsidR="00761B78" w:rsidRDefault="00761B78" w:rsidP="00547291">
            <w:pPr>
              <w:tabs>
                <w:tab w:val="left" w:pos="1701"/>
                <w:tab w:val="left" w:pos="1985"/>
              </w:tabs>
              <w:rPr>
                <w:color w:val="auto"/>
              </w:rPr>
            </w:pPr>
            <w:r>
              <w:rPr>
                <w:color w:val="auto"/>
              </w:rPr>
              <w:t>Versuchsteil a)</w:t>
            </w:r>
          </w:p>
        </w:tc>
      </w:tr>
      <w:tr w:rsidR="00761B78" w:rsidTr="00547291">
        <w:tc>
          <w:tcPr>
            <w:tcW w:w="3212" w:type="dxa"/>
          </w:tcPr>
          <w:p w:rsidR="00761B78" w:rsidRDefault="00761B78" w:rsidP="00547291">
            <w:pPr>
              <w:tabs>
                <w:tab w:val="left" w:pos="1701"/>
                <w:tab w:val="left" w:pos="1985"/>
              </w:tabs>
              <w:rPr>
                <w:color w:val="auto"/>
              </w:rPr>
            </w:pPr>
            <w:r>
              <w:rPr>
                <w:color w:val="auto"/>
              </w:rPr>
              <w:t>8</w:t>
            </w:r>
          </w:p>
        </w:tc>
        <w:tc>
          <w:tcPr>
            <w:tcW w:w="2048" w:type="dxa"/>
          </w:tcPr>
          <w:p w:rsidR="00761B78" w:rsidRDefault="00761B78" w:rsidP="00547291">
            <w:pPr>
              <w:tabs>
                <w:tab w:val="left" w:pos="1701"/>
                <w:tab w:val="left" w:pos="1985"/>
              </w:tabs>
              <w:rPr>
                <w:color w:val="auto"/>
              </w:rPr>
            </w:pPr>
            <w:r>
              <w:rPr>
                <w:color w:val="auto"/>
              </w:rPr>
              <w:t>24</w:t>
            </w:r>
          </w:p>
        </w:tc>
        <w:tc>
          <w:tcPr>
            <w:tcW w:w="2048" w:type="dxa"/>
          </w:tcPr>
          <w:p w:rsidR="00761B78" w:rsidRDefault="00761B78" w:rsidP="00547291">
            <w:pPr>
              <w:tabs>
                <w:tab w:val="left" w:pos="1701"/>
                <w:tab w:val="left" w:pos="1985"/>
              </w:tabs>
              <w:rPr>
                <w:color w:val="auto"/>
              </w:rPr>
            </w:pPr>
            <w:r>
              <w:rPr>
                <w:color w:val="auto"/>
              </w:rPr>
              <w:t xml:space="preserve">52,2 </w:t>
            </w:r>
          </w:p>
        </w:tc>
      </w:tr>
      <w:tr w:rsidR="00761B78" w:rsidTr="00547291">
        <w:tc>
          <w:tcPr>
            <w:tcW w:w="3212" w:type="dxa"/>
          </w:tcPr>
          <w:p w:rsidR="00761B78" w:rsidRDefault="00761B78" w:rsidP="00547291">
            <w:pPr>
              <w:tabs>
                <w:tab w:val="left" w:pos="1701"/>
                <w:tab w:val="left" w:pos="1985"/>
              </w:tabs>
              <w:rPr>
                <w:color w:val="auto"/>
              </w:rPr>
            </w:pPr>
            <w:r>
              <w:rPr>
                <w:color w:val="auto"/>
              </w:rPr>
              <w:t>2</w:t>
            </w:r>
          </w:p>
        </w:tc>
        <w:tc>
          <w:tcPr>
            <w:tcW w:w="2048" w:type="dxa"/>
          </w:tcPr>
          <w:p w:rsidR="00761B78" w:rsidRDefault="00761B78" w:rsidP="00547291">
            <w:pPr>
              <w:tabs>
                <w:tab w:val="left" w:pos="1701"/>
                <w:tab w:val="left" w:pos="1985"/>
              </w:tabs>
              <w:rPr>
                <w:color w:val="auto"/>
              </w:rPr>
            </w:pPr>
            <w:r>
              <w:rPr>
                <w:color w:val="auto"/>
              </w:rPr>
              <w:t>24</w:t>
            </w:r>
          </w:p>
        </w:tc>
        <w:tc>
          <w:tcPr>
            <w:tcW w:w="2048" w:type="dxa"/>
          </w:tcPr>
          <w:p w:rsidR="00761B78" w:rsidRDefault="00761B78" w:rsidP="00547291">
            <w:pPr>
              <w:tabs>
                <w:tab w:val="left" w:pos="1701"/>
                <w:tab w:val="left" w:pos="1985"/>
              </w:tabs>
              <w:rPr>
                <w:color w:val="auto"/>
              </w:rPr>
            </w:pPr>
            <w:r>
              <w:rPr>
                <w:color w:val="auto"/>
              </w:rPr>
              <w:t xml:space="preserve">247 </w:t>
            </w:r>
          </w:p>
        </w:tc>
      </w:tr>
      <w:tr w:rsidR="00761B78" w:rsidTr="00547291">
        <w:tc>
          <w:tcPr>
            <w:tcW w:w="3212" w:type="dxa"/>
          </w:tcPr>
          <w:p w:rsidR="00761B78" w:rsidRDefault="00761B78" w:rsidP="00547291">
            <w:pPr>
              <w:tabs>
                <w:tab w:val="left" w:pos="1701"/>
                <w:tab w:val="left" w:pos="1985"/>
              </w:tabs>
              <w:rPr>
                <w:color w:val="auto"/>
              </w:rPr>
            </w:pPr>
            <w:r>
              <w:rPr>
                <w:color w:val="auto"/>
              </w:rPr>
              <w:t>1</w:t>
            </w:r>
          </w:p>
        </w:tc>
        <w:tc>
          <w:tcPr>
            <w:tcW w:w="2048" w:type="dxa"/>
          </w:tcPr>
          <w:p w:rsidR="00761B78" w:rsidRDefault="00761B78" w:rsidP="00547291">
            <w:pPr>
              <w:tabs>
                <w:tab w:val="left" w:pos="1701"/>
                <w:tab w:val="left" w:pos="1985"/>
              </w:tabs>
              <w:rPr>
                <w:color w:val="auto"/>
              </w:rPr>
            </w:pPr>
            <w:r>
              <w:rPr>
                <w:color w:val="auto"/>
              </w:rPr>
              <w:t>24</w:t>
            </w:r>
          </w:p>
        </w:tc>
        <w:tc>
          <w:tcPr>
            <w:tcW w:w="2048" w:type="dxa"/>
          </w:tcPr>
          <w:p w:rsidR="00761B78" w:rsidRDefault="00761B78" w:rsidP="00547291">
            <w:pPr>
              <w:tabs>
                <w:tab w:val="left" w:pos="1701"/>
                <w:tab w:val="left" w:pos="1985"/>
              </w:tabs>
              <w:rPr>
                <w:color w:val="auto"/>
              </w:rPr>
            </w:pPr>
            <w:r>
              <w:rPr>
                <w:color w:val="auto"/>
              </w:rPr>
              <w:t>467</w:t>
            </w:r>
          </w:p>
        </w:tc>
      </w:tr>
      <w:tr w:rsidR="00761B78" w:rsidTr="00547291">
        <w:tc>
          <w:tcPr>
            <w:tcW w:w="7308" w:type="dxa"/>
            <w:gridSpan w:val="3"/>
          </w:tcPr>
          <w:p w:rsidR="00761B78" w:rsidRDefault="00761B78" w:rsidP="00547291">
            <w:pPr>
              <w:tabs>
                <w:tab w:val="left" w:pos="1701"/>
                <w:tab w:val="left" w:pos="1985"/>
              </w:tabs>
              <w:rPr>
                <w:color w:val="auto"/>
              </w:rPr>
            </w:pPr>
            <w:r>
              <w:rPr>
                <w:color w:val="auto"/>
              </w:rPr>
              <w:t>Versuchsteil b)</w:t>
            </w:r>
          </w:p>
        </w:tc>
      </w:tr>
      <w:tr w:rsidR="00761B78" w:rsidTr="00547291">
        <w:tc>
          <w:tcPr>
            <w:tcW w:w="3212" w:type="dxa"/>
          </w:tcPr>
          <w:p w:rsidR="00761B78" w:rsidRDefault="00761B78" w:rsidP="00547291">
            <w:pPr>
              <w:tabs>
                <w:tab w:val="left" w:pos="1701"/>
                <w:tab w:val="left" w:pos="1985"/>
              </w:tabs>
              <w:rPr>
                <w:color w:val="auto"/>
              </w:rPr>
            </w:pPr>
            <w:r>
              <w:rPr>
                <w:color w:val="auto"/>
              </w:rPr>
              <w:t>2</w:t>
            </w:r>
          </w:p>
        </w:tc>
        <w:tc>
          <w:tcPr>
            <w:tcW w:w="2048" w:type="dxa"/>
          </w:tcPr>
          <w:p w:rsidR="00761B78" w:rsidRDefault="00761B78" w:rsidP="00547291">
            <w:pPr>
              <w:tabs>
                <w:tab w:val="left" w:pos="1701"/>
                <w:tab w:val="left" w:pos="1985"/>
              </w:tabs>
              <w:rPr>
                <w:color w:val="auto"/>
              </w:rPr>
            </w:pPr>
            <w:r>
              <w:rPr>
                <w:color w:val="auto"/>
              </w:rPr>
              <w:t>24</w:t>
            </w:r>
          </w:p>
        </w:tc>
        <w:tc>
          <w:tcPr>
            <w:tcW w:w="2048" w:type="dxa"/>
          </w:tcPr>
          <w:p w:rsidR="00761B78" w:rsidRDefault="00761B78" w:rsidP="00547291">
            <w:pPr>
              <w:tabs>
                <w:tab w:val="left" w:pos="1701"/>
                <w:tab w:val="left" w:pos="1985"/>
              </w:tabs>
              <w:rPr>
                <w:color w:val="auto"/>
              </w:rPr>
            </w:pPr>
            <w:r>
              <w:rPr>
                <w:color w:val="auto"/>
              </w:rPr>
              <w:t>302</w:t>
            </w:r>
          </w:p>
        </w:tc>
      </w:tr>
      <w:tr w:rsidR="00761B78" w:rsidTr="00547291">
        <w:tc>
          <w:tcPr>
            <w:tcW w:w="3212" w:type="dxa"/>
          </w:tcPr>
          <w:p w:rsidR="00761B78" w:rsidRDefault="00761B78" w:rsidP="00547291">
            <w:pPr>
              <w:tabs>
                <w:tab w:val="left" w:pos="1701"/>
                <w:tab w:val="left" w:pos="1985"/>
              </w:tabs>
              <w:rPr>
                <w:color w:val="auto"/>
              </w:rPr>
            </w:pPr>
            <w:r>
              <w:rPr>
                <w:color w:val="auto"/>
              </w:rPr>
              <w:t>2</w:t>
            </w:r>
          </w:p>
        </w:tc>
        <w:tc>
          <w:tcPr>
            <w:tcW w:w="2048" w:type="dxa"/>
          </w:tcPr>
          <w:p w:rsidR="00761B78" w:rsidRDefault="00761B78" w:rsidP="00547291">
            <w:pPr>
              <w:tabs>
                <w:tab w:val="left" w:pos="1701"/>
                <w:tab w:val="left" w:pos="1985"/>
              </w:tabs>
              <w:rPr>
                <w:color w:val="auto"/>
              </w:rPr>
            </w:pPr>
            <w:r>
              <w:rPr>
                <w:color w:val="auto"/>
              </w:rPr>
              <w:t>4</w:t>
            </w:r>
          </w:p>
        </w:tc>
        <w:tc>
          <w:tcPr>
            <w:tcW w:w="2048" w:type="dxa"/>
          </w:tcPr>
          <w:p w:rsidR="00761B78" w:rsidRDefault="00761B78" w:rsidP="00547291">
            <w:pPr>
              <w:tabs>
                <w:tab w:val="left" w:pos="1701"/>
                <w:tab w:val="left" w:pos="1985"/>
              </w:tabs>
              <w:rPr>
                <w:color w:val="auto"/>
              </w:rPr>
            </w:pPr>
            <w:r>
              <w:rPr>
                <w:color w:val="auto"/>
              </w:rPr>
              <w:t>1530</w:t>
            </w:r>
          </w:p>
        </w:tc>
      </w:tr>
      <w:tr w:rsidR="00761B78" w:rsidTr="00547291">
        <w:tc>
          <w:tcPr>
            <w:tcW w:w="3212" w:type="dxa"/>
          </w:tcPr>
          <w:p w:rsidR="00761B78" w:rsidRDefault="00761B78" w:rsidP="00547291">
            <w:pPr>
              <w:tabs>
                <w:tab w:val="left" w:pos="1701"/>
                <w:tab w:val="left" w:pos="1985"/>
              </w:tabs>
              <w:rPr>
                <w:color w:val="auto"/>
              </w:rPr>
            </w:pPr>
            <w:r>
              <w:rPr>
                <w:color w:val="auto"/>
              </w:rPr>
              <w:t>2</w:t>
            </w:r>
          </w:p>
        </w:tc>
        <w:tc>
          <w:tcPr>
            <w:tcW w:w="2048" w:type="dxa"/>
          </w:tcPr>
          <w:p w:rsidR="00761B78" w:rsidRDefault="00761B78" w:rsidP="00547291">
            <w:pPr>
              <w:tabs>
                <w:tab w:val="left" w:pos="1701"/>
                <w:tab w:val="left" w:pos="1985"/>
              </w:tabs>
              <w:rPr>
                <w:color w:val="auto"/>
              </w:rPr>
            </w:pPr>
            <w:r>
              <w:rPr>
                <w:color w:val="auto"/>
              </w:rPr>
              <w:t>44</w:t>
            </w:r>
          </w:p>
        </w:tc>
        <w:tc>
          <w:tcPr>
            <w:tcW w:w="2048" w:type="dxa"/>
          </w:tcPr>
          <w:p w:rsidR="00761B78" w:rsidRDefault="00761B78" w:rsidP="00547291">
            <w:pPr>
              <w:tabs>
                <w:tab w:val="left" w:pos="1701"/>
                <w:tab w:val="left" w:pos="1985"/>
              </w:tabs>
              <w:rPr>
                <w:color w:val="auto"/>
              </w:rPr>
            </w:pPr>
            <w:r>
              <w:rPr>
                <w:color w:val="auto"/>
              </w:rPr>
              <w:t>51</w:t>
            </w:r>
          </w:p>
        </w:tc>
      </w:tr>
    </w:tbl>
    <w:p w:rsidR="00761B78" w:rsidRDefault="00761B78" w:rsidP="00761B78">
      <w:pPr>
        <w:tabs>
          <w:tab w:val="left" w:pos="1701"/>
          <w:tab w:val="left" w:pos="1985"/>
        </w:tabs>
        <w:ind w:left="1980" w:hanging="1980"/>
        <w:rPr>
          <w:color w:val="auto"/>
        </w:rPr>
      </w:pPr>
      <w:r>
        <w:rPr>
          <w:color w:val="auto"/>
        </w:rPr>
        <w:tab/>
      </w:r>
      <w:r>
        <w:rPr>
          <w:color w:val="auto"/>
        </w:rPr>
        <w:tab/>
      </w:r>
      <w:r>
        <w:rPr>
          <w:color w:val="auto"/>
          <w:sz w:val="18"/>
          <w:szCs w:val="18"/>
        </w:rPr>
        <w:t>Tabelle 2.2 – Beobachtungen der Versuchsdurchführung</w:t>
      </w:r>
      <w:r>
        <w:rPr>
          <w:color w:val="auto"/>
        </w:rPr>
        <w:t xml:space="preserve"> </w:t>
      </w:r>
    </w:p>
    <w:p w:rsidR="00761B78" w:rsidRPr="00374ABA" w:rsidRDefault="00761B78" w:rsidP="00761B78">
      <w:pPr>
        <w:keepNext/>
        <w:tabs>
          <w:tab w:val="left" w:pos="1701"/>
          <w:tab w:val="left" w:pos="1985"/>
        </w:tabs>
        <w:ind w:left="1980" w:hanging="1980"/>
        <w:jc w:val="center"/>
        <w:rPr>
          <w:color w:val="auto"/>
        </w:rPr>
      </w:pPr>
      <w:r>
        <w:rPr>
          <w:noProof/>
          <w:color w:val="auto"/>
          <w:lang w:eastAsia="de-DE"/>
        </w:rPr>
        <w:drawing>
          <wp:inline distT="0" distB="0" distL="0" distR="0">
            <wp:extent cx="5504490" cy="3668233"/>
            <wp:effectExtent l="19050" t="0" r="960" b="0"/>
            <wp:docPr id="26" name="Bild 6" descr="C:\Dokumente und Einstellungen\Paula\Desktop\Eigene Dateien\uni\master\2. Semester\SVP\Fotos 11 &amp; 12\20130807_111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kumente und Einstellungen\Paula\Desktop\Eigene Dateien\uni\master\2. Semester\SVP\Fotos 11 &amp; 12\20130807_111407.jpg"/>
                    <pic:cNvPicPr>
                      <a:picLocks noChangeAspect="1" noChangeArrowheads="1"/>
                    </pic:cNvPicPr>
                  </pic:nvPicPr>
                  <pic:blipFill>
                    <a:blip r:embed="rId16" cstate="print"/>
                    <a:srcRect l="4643" t="5172" b="9852"/>
                    <a:stretch>
                      <a:fillRect/>
                    </a:stretch>
                  </pic:blipFill>
                  <pic:spPr bwMode="auto">
                    <a:xfrm>
                      <a:off x="0" y="0"/>
                      <a:ext cx="5504490" cy="3668233"/>
                    </a:xfrm>
                    <a:prstGeom prst="rect">
                      <a:avLst/>
                    </a:prstGeom>
                    <a:noFill/>
                    <a:ln w="9525">
                      <a:noFill/>
                      <a:miter lim="800000"/>
                      <a:headEnd/>
                      <a:tailEnd/>
                    </a:ln>
                  </pic:spPr>
                </pic:pic>
              </a:graphicData>
            </a:graphic>
          </wp:inline>
        </w:drawing>
      </w:r>
    </w:p>
    <w:p w:rsidR="00761B78" w:rsidRPr="00615608" w:rsidRDefault="00761B78" w:rsidP="00761B78">
      <w:pPr>
        <w:pStyle w:val="Beschriftung"/>
        <w:jc w:val="left"/>
        <w:rPr>
          <w:noProof/>
        </w:rPr>
      </w:pPr>
      <w:r w:rsidRPr="00374ABA">
        <w:t xml:space="preserve">Abb. </w:t>
      </w:r>
      <w:fldSimple w:instr=" SEQ Abb. \* ARABIC ">
        <w:r>
          <w:rPr>
            <w:noProof/>
          </w:rPr>
          <w:t>2</w:t>
        </w:r>
      </w:fldSimple>
      <w:r w:rsidRPr="00374ABA">
        <w:t xml:space="preserve"> - </w:t>
      </w:r>
      <w:r w:rsidRPr="00374ABA">
        <w:rPr>
          <w:noProof/>
        </w:rPr>
        <w:t xml:space="preserve"> </w:t>
      </w:r>
      <w:r>
        <w:rPr>
          <w:noProof/>
        </w:rPr>
        <w:t>vorne: Mit 250 mL Wasser verdünnte Lösung vor dem Farbumschlag, hinten-links: bereits abragierte unverdünnte Lösung, hinten-rechts: noch zu messende Lösung mit 500 mL Wasser verdünnt</w:t>
      </w:r>
    </w:p>
    <w:p w:rsidR="00761B78" w:rsidRPr="00834C80" w:rsidRDefault="00761B78" w:rsidP="00761B78">
      <w:pPr>
        <w:tabs>
          <w:tab w:val="left" w:pos="1701"/>
          <w:tab w:val="left" w:pos="1985"/>
        </w:tabs>
        <w:ind w:left="1980" w:hanging="1980"/>
        <w:rPr>
          <w:rFonts w:asciiTheme="majorHAnsi" w:hAnsiTheme="majorHAnsi"/>
          <w:color w:val="auto"/>
        </w:rPr>
      </w:pPr>
      <w:r w:rsidRPr="00834C80">
        <w:rPr>
          <w:rFonts w:asciiTheme="majorHAnsi" w:hAnsiTheme="majorHAnsi"/>
          <w:color w:val="auto"/>
        </w:rPr>
        <w:lastRenderedPageBreak/>
        <w:t>Deutung:</w:t>
      </w:r>
      <w:r w:rsidRPr="00834C80">
        <w:rPr>
          <w:rFonts w:asciiTheme="majorHAnsi" w:hAnsiTheme="majorHAnsi"/>
          <w:color w:val="auto"/>
        </w:rPr>
        <w:tab/>
      </w:r>
      <w:r w:rsidRPr="00834C80">
        <w:rPr>
          <w:rFonts w:asciiTheme="majorHAnsi" w:hAnsiTheme="majorHAnsi"/>
          <w:color w:val="auto"/>
        </w:rPr>
        <w:tab/>
        <w:t>Es findet die folgende Reaktion statt:</w:t>
      </w:r>
    </w:p>
    <w:p w:rsidR="00761B78" w:rsidRDefault="00761B78" w:rsidP="00761B78">
      <w:pPr>
        <w:tabs>
          <w:tab w:val="left" w:pos="1701"/>
          <w:tab w:val="left" w:pos="1985"/>
        </w:tabs>
        <w:ind w:left="1980" w:hanging="1980"/>
        <w:rPr>
          <w:rFonts w:asciiTheme="majorHAnsi" w:eastAsiaTheme="minorEastAsia" w:hAnsiTheme="majorHAnsi"/>
          <w:color w:val="auto"/>
        </w:rPr>
      </w:pPr>
      <w:r w:rsidRPr="00834C80">
        <w:rPr>
          <w:rFonts w:asciiTheme="majorHAnsi" w:hAnsiTheme="majorHAnsi"/>
          <w:color w:val="auto"/>
        </w:rPr>
        <w:tab/>
      </w:r>
      <w:r w:rsidRPr="00834C80">
        <w:rPr>
          <w:rFonts w:asciiTheme="majorHAnsi" w:hAnsiTheme="majorHAnsi"/>
          <w:color w:val="auto"/>
        </w:rPr>
        <w:tab/>
        <w:t>2 MnO</w:t>
      </w:r>
      <w:r w:rsidRPr="00834C80">
        <w:rPr>
          <w:rFonts w:asciiTheme="majorHAnsi" w:hAnsiTheme="majorHAnsi"/>
          <w:color w:val="auto"/>
          <w:vertAlign w:val="subscript"/>
        </w:rPr>
        <w:t>4</w:t>
      </w:r>
      <w:r w:rsidRPr="00834C80">
        <w:rPr>
          <w:rFonts w:asciiTheme="majorHAnsi" w:hAnsiTheme="majorHAnsi"/>
          <w:color w:val="auto"/>
          <w:position w:val="2"/>
          <w:sz w:val="36"/>
          <w:vertAlign w:val="superscript"/>
        </w:rPr>
        <w:t>-</w:t>
      </w:r>
      <w:r>
        <w:rPr>
          <w:rFonts w:asciiTheme="majorHAnsi" w:hAnsiTheme="majorHAnsi"/>
          <w:color w:val="auto"/>
          <w:vertAlign w:val="subscript"/>
        </w:rPr>
        <w:t>(</w:t>
      </w:r>
      <w:proofErr w:type="spellStart"/>
      <w:r>
        <w:rPr>
          <w:rFonts w:asciiTheme="majorHAnsi" w:hAnsiTheme="majorHAnsi"/>
          <w:color w:val="auto"/>
          <w:vertAlign w:val="subscript"/>
        </w:rPr>
        <w:t>aq</w:t>
      </w:r>
      <w:proofErr w:type="spellEnd"/>
      <w:r>
        <w:rPr>
          <w:rFonts w:asciiTheme="majorHAnsi" w:hAnsiTheme="majorHAnsi"/>
          <w:color w:val="auto"/>
          <w:vertAlign w:val="subscript"/>
        </w:rPr>
        <w:t xml:space="preserve">) </w:t>
      </w:r>
      <w:r w:rsidRPr="00834C80">
        <w:rPr>
          <w:rFonts w:asciiTheme="majorHAnsi" w:hAnsiTheme="majorHAnsi"/>
          <w:color w:val="auto"/>
        </w:rPr>
        <w:t>+ 5 C</w:t>
      </w:r>
      <w:r w:rsidRPr="00834C80">
        <w:rPr>
          <w:rFonts w:asciiTheme="majorHAnsi" w:hAnsiTheme="majorHAnsi"/>
          <w:color w:val="auto"/>
          <w:vertAlign w:val="subscript"/>
        </w:rPr>
        <w:t>2</w:t>
      </w:r>
      <w:r w:rsidRPr="00834C80">
        <w:rPr>
          <w:rFonts w:asciiTheme="majorHAnsi" w:hAnsiTheme="majorHAnsi"/>
          <w:color w:val="auto"/>
        </w:rPr>
        <w:t>O</w:t>
      </w:r>
      <w:r w:rsidRPr="00834C80">
        <w:rPr>
          <w:rFonts w:asciiTheme="majorHAnsi" w:hAnsiTheme="majorHAnsi"/>
          <w:color w:val="auto"/>
          <w:vertAlign w:val="subscript"/>
        </w:rPr>
        <w:t>4</w:t>
      </w:r>
      <w:r w:rsidRPr="00834C80">
        <w:rPr>
          <w:rFonts w:asciiTheme="majorHAnsi" w:hAnsiTheme="majorHAnsi"/>
          <w:color w:val="auto"/>
          <w:position w:val="4"/>
          <w:vertAlign w:val="superscript"/>
        </w:rPr>
        <w:t>2-</w:t>
      </w:r>
      <w:r>
        <w:rPr>
          <w:rFonts w:asciiTheme="majorHAnsi" w:hAnsiTheme="majorHAnsi"/>
          <w:color w:val="auto"/>
          <w:position w:val="4"/>
          <w:vertAlign w:val="subscript"/>
        </w:rPr>
        <w:t>(</w:t>
      </w:r>
      <w:proofErr w:type="spellStart"/>
      <w:r>
        <w:rPr>
          <w:rFonts w:asciiTheme="majorHAnsi" w:hAnsiTheme="majorHAnsi"/>
          <w:color w:val="auto"/>
          <w:position w:val="4"/>
          <w:vertAlign w:val="subscript"/>
        </w:rPr>
        <w:t>aq</w:t>
      </w:r>
      <w:proofErr w:type="spellEnd"/>
      <w:r>
        <w:rPr>
          <w:rFonts w:asciiTheme="majorHAnsi" w:hAnsiTheme="majorHAnsi"/>
          <w:color w:val="auto"/>
          <w:position w:val="4"/>
          <w:vertAlign w:val="subscript"/>
        </w:rPr>
        <w:t>)</w:t>
      </w:r>
      <w:r w:rsidRPr="00834C80">
        <w:rPr>
          <w:rFonts w:asciiTheme="majorHAnsi" w:hAnsiTheme="majorHAnsi"/>
          <w:color w:val="auto"/>
        </w:rPr>
        <w:t xml:space="preserve"> + 16 H</w:t>
      </w:r>
      <w:r w:rsidRPr="00834C80">
        <w:rPr>
          <w:rFonts w:asciiTheme="majorHAnsi" w:hAnsiTheme="majorHAnsi"/>
          <w:color w:val="auto"/>
          <w:vertAlign w:val="subscript"/>
        </w:rPr>
        <w:t>3</w:t>
      </w:r>
      <w:r w:rsidRPr="00834C80">
        <w:rPr>
          <w:rFonts w:asciiTheme="majorHAnsi" w:hAnsiTheme="majorHAnsi"/>
          <w:color w:val="auto"/>
        </w:rPr>
        <w:t>O</w:t>
      </w:r>
      <w:r w:rsidRPr="00834C80">
        <w:rPr>
          <w:rFonts w:asciiTheme="majorHAnsi" w:hAnsiTheme="majorHAnsi"/>
          <w:color w:val="auto"/>
          <w:position w:val="2"/>
          <w:vertAlign w:val="superscript"/>
        </w:rPr>
        <w:t>+</w:t>
      </w:r>
      <w:r>
        <w:rPr>
          <w:rFonts w:asciiTheme="majorHAnsi" w:hAnsiTheme="majorHAnsi"/>
          <w:color w:val="auto"/>
          <w:position w:val="2"/>
          <w:vertAlign w:val="subscript"/>
        </w:rPr>
        <w:t>(</w:t>
      </w:r>
      <w:proofErr w:type="spellStart"/>
      <w:r>
        <w:rPr>
          <w:rFonts w:asciiTheme="majorHAnsi" w:hAnsiTheme="majorHAnsi"/>
          <w:color w:val="auto"/>
          <w:position w:val="2"/>
          <w:vertAlign w:val="subscript"/>
        </w:rPr>
        <w:t>aq</w:t>
      </w:r>
      <w:proofErr w:type="spellEnd"/>
      <w:r>
        <w:rPr>
          <w:rFonts w:asciiTheme="majorHAnsi" w:hAnsiTheme="majorHAnsi"/>
          <w:color w:val="auto"/>
          <w:position w:val="2"/>
          <w:vertAlign w:val="subscript"/>
        </w:rPr>
        <w:t>)</w:t>
      </w:r>
      <w:r w:rsidRPr="00834C80">
        <w:rPr>
          <w:rFonts w:asciiTheme="majorHAnsi" w:hAnsiTheme="majorHAnsi"/>
          <w:color w:val="auto"/>
          <w:position w:val="2"/>
        </w:rPr>
        <w:t xml:space="preserve"> </w:t>
      </w:r>
      <w:r w:rsidRPr="00834C80">
        <w:rPr>
          <w:rFonts w:ascii="Lucida Sans Unicode" w:hAnsi="Lucida Sans Unicode" w:cs="Lucida Sans Unicode"/>
          <w:color w:val="auto"/>
        </w:rPr>
        <w:t>→</w:t>
      </w:r>
      <w:r w:rsidRPr="00834C80">
        <w:rPr>
          <w:rFonts w:asciiTheme="majorHAnsi" w:hAnsiTheme="majorHAnsi"/>
          <w:color w:val="auto"/>
        </w:rPr>
        <w:t xml:space="preserve"> </w:t>
      </w:r>
      <w:r>
        <w:rPr>
          <w:rFonts w:asciiTheme="majorHAnsi" w:hAnsiTheme="majorHAnsi"/>
          <w:color w:val="auto"/>
        </w:rPr>
        <w:t xml:space="preserve">2 </w:t>
      </w:r>
      <w:proofErr w:type="spellStart"/>
      <w:r>
        <w:rPr>
          <w:rFonts w:asciiTheme="majorHAnsi" w:hAnsiTheme="majorHAnsi"/>
          <w:color w:val="auto"/>
        </w:rPr>
        <w:t>Mn</w:t>
      </w:r>
      <w:proofErr w:type="spellEnd"/>
      <w:r w:rsidRPr="00834C80">
        <w:rPr>
          <w:rFonts w:asciiTheme="majorHAnsi" w:hAnsiTheme="majorHAnsi"/>
          <w:color w:val="auto"/>
          <w:position w:val="4"/>
          <w:vertAlign w:val="superscript"/>
        </w:rPr>
        <w:t>2+</w:t>
      </w:r>
      <w:r>
        <w:rPr>
          <w:rFonts w:asciiTheme="majorHAnsi" w:hAnsiTheme="majorHAnsi"/>
          <w:color w:val="auto"/>
          <w:position w:val="4"/>
          <w:vertAlign w:val="subscript"/>
        </w:rPr>
        <w:t>(</w:t>
      </w:r>
      <w:proofErr w:type="spellStart"/>
      <w:r>
        <w:rPr>
          <w:rFonts w:asciiTheme="majorHAnsi" w:hAnsiTheme="majorHAnsi"/>
          <w:color w:val="auto"/>
          <w:position w:val="4"/>
          <w:vertAlign w:val="subscript"/>
        </w:rPr>
        <w:t>aq</w:t>
      </w:r>
      <w:proofErr w:type="spellEnd"/>
      <w:r>
        <w:rPr>
          <w:rFonts w:asciiTheme="majorHAnsi" w:hAnsiTheme="majorHAnsi"/>
          <w:color w:val="auto"/>
          <w:position w:val="4"/>
          <w:vertAlign w:val="subscript"/>
        </w:rPr>
        <w:t>)</w:t>
      </w:r>
      <w:r>
        <w:rPr>
          <w:rFonts w:asciiTheme="majorHAnsi" w:hAnsiTheme="majorHAnsi"/>
          <w:color w:val="auto"/>
        </w:rPr>
        <w:t xml:space="preserve"> +24 H</w:t>
      </w:r>
      <w:r>
        <w:rPr>
          <w:rFonts w:asciiTheme="majorHAnsi" w:hAnsiTheme="majorHAnsi"/>
          <w:color w:val="auto"/>
          <w:vertAlign w:val="subscript"/>
        </w:rPr>
        <w:t>2</w:t>
      </w:r>
      <w:r>
        <w:rPr>
          <w:rFonts w:asciiTheme="majorHAnsi" w:hAnsiTheme="majorHAnsi"/>
          <w:color w:val="auto"/>
        </w:rPr>
        <w:t>O</w:t>
      </w:r>
      <w:r>
        <w:rPr>
          <w:rFonts w:asciiTheme="majorHAnsi" w:hAnsiTheme="majorHAnsi"/>
          <w:color w:val="auto"/>
          <w:vertAlign w:val="subscript"/>
        </w:rPr>
        <w:t>(l)</w:t>
      </w:r>
      <w:r>
        <w:rPr>
          <w:rFonts w:asciiTheme="majorHAnsi" w:hAnsiTheme="majorHAnsi"/>
          <w:color w:val="auto"/>
        </w:rPr>
        <w:t xml:space="preserve"> + 10 CO</w:t>
      </w:r>
      <w:r>
        <w:rPr>
          <w:rFonts w:asciiTheme="majorHAnsi" w:hAnsiTheme="majorHAnsi"/>
          <w:color w:val="auto"/>
          <w:vertAlign w:val="subscript"/>
        </w:rPr>
        <w:t xml:space="preserve">2 </w:t>
      </w:r>
      <w:r w:rsidRPr="00834C80">
        <w:rPr>
          <w:rFonts w:asciiTheme="majorHAnsi" w:eastAsiaTheme="minorEastAsia" w:hAnsiTheme="majorHAnsi"/>
          <w:color w:val="auto"/>
          <w:vertAlign w:val="subscript"/>
        </w:rPr>
        <w:t>(g)</w:t>
      </w:r>
      <w:r>
        <w:rPr>
          <w:rFonts w:asciiTheme="majorHAnsi" w:hAnsiTheme="majorHAnsi"/>
          <w:color w:val="auto"/>
        </w:rPr>
        <w:t xml:space="preserve"> </w:t>
      </w:r>
      <m:oMath>
        <m:r>
          <w:rPr>
            <w:rFonts w:ascii="Cambria Math" w:hAnsi="Cambria Math"/>
            <w:color w:val="auto"/>
          </w:rPr>
          <m:t>↑</m:t>
        </m:r>
      </m:oMath>
      <w:r>
        <w:rPr>
          <w:rFonts w:asciiTheme="majorHAnsi" w:eastAsiaTheme="minorEastAsia" w:hAnsiTheme="majorHAnsi"/>
          <w:color w:val="auto"/>
        </w:rPr>
        <w:t xml:space="preserve"> </w:t>
      </w:r>
    </w:p>
    <w:p w:rsidR="00761B78" w:rsidRPr="00BB5509" w:rsidRDefault="00761B78" w:rsidP="00761B78">
      <w:pPr>
        <w:tabs>
          <w:tab w:val="left" w:pos="1701"/>
          <w:tab w:val="left" w:pos="1985"/>
        </w:tabs>
        <w:ind w:left="1980" w:hanging="1980"/>
        <w:rPr>
          <w:rFonts w:asciiTheme="majorHAnsi" w:eastAsiaTheme="minorEastAsia" w:hAnsiTheme="majorHAnsi"/>
          <w:color w:val="auto"/>
          <w:u w:val="single"/>
        </w:rPr>
      </w:pPr>
      <w:r>
        <w:rPr>
          <w:rFonts w:asciiTheme="majorHAnsi" w:eastAsiaTheme="minorEastAsia" w:hAnsiTheme="majorHAnsi"/>
          <w:color w:val="auto"/>
        </w:rPr>
        <w:tab/>
      </w:r>
      <w:r>
        <w:rPr>
          <w:rFonts w:asciiTheme="majorHAnsi" w:eastAsiaTheme="minorEastAsia" w:hAnsiTheme="majorHAnsi"/>
          <w:color w:val="auto"/>
        </w:rPr>
        <w:tab/>
      </w:r>
      <w:r w:rsidRPr="00BB5509">
        <w:rPr>
          <w:rFonts w:asciiTheme="majorHAnsi" w:eastAsiaTheme="minorEastAsia" w:hAnsiTheme="majorHAnsi"/>
          <w:color w:val="auto"/>
          <w:u w:val="single"/>
        </w:rPr>
        <w:t>Auswertung Teil a):</w:t>
      </w:r>
    </w:p>
    <w:p w:rsidR="00761B78" w:rsidRDefault="00761B78" w:rsidP="00761B78">
      <w:pPr>
        <w:tabs>
          <w:tab w:val="left" w:pos="1701"/>
          <w:tab w:val="left" w:pos="1985"/>
        </w:tabs>
        <w:ind w:left="1980" w:hanging="1980"/>
        <w:rPr>
          <w:rFonts w:asciiTheme="majorHAnsi" w:eastAsiaTheme="minorEastAsia" w:hAnsiTheme="majorHAnsi"/>
          <w:color w:val="auto"/>
        </w:rPr>
      </w:pPr>
      <w:r>
        <w:rPr>
          <w:rFonts w:asciiTheme="majorHAnsi" w:eastAsiaTheme="minorEastAsia" w:hAnsiTheme="majorHAnsi"/>
          <w:color w:val="auto"/>
        </w:rPr>
        <w:tab/>
      </w:r>
      <w:r>
        <w:rPr>
          <w:rFonts w:asciiTheme="majorHAnsi" w:eastAsiaTheme="minorEastAsia" w:hAnsiTheme="majorHAnsi"/>
          <w:color w:val="auto"/>
        </w:rPr>
        <w:tab/>
        <w:t>Je höher die Stoffkonzentration der Edukte ist, desto schneller läuft eine Reaktion ab. Die Reaktionsgeschwindigkeit ist bei diesem Versuch also a</w:t>
      </w:r>
      <w:r>
        <w:rPr>
          <w:rFonts w:asciiTheme="majorHAnsi" w:eastAsiaTheme="minorEastAsia" w:hAnsiTheme="majorHAnsi"/>
          <w:color w:val="auto"/>
        </w:rPr>
        <w:t>b</w:t>
      </w:r>
      <w:r>
        <w:rPr>
          <w:rFonts w:asciiTheme="majorHAnsi" w:eastAsiaTheme="minorEastAsia" w:hAnsiTheme="majorHAnsi"/>
          <w:color w:val="auto"/>
        </w:rPr>
        <w:t>hängig von der Konzentration der Ausgangsstoffe. Aus den Werten kann man sehen, dass bei einer Verringerung der Konzentration auf ein Viertel der Ausgangskonzentration der Lösung die Reaktion ungefähr viermal so lange dauert, die Reaktionsgeschwindigkeit also ebenfalls auf ein Viertel der Ausgangsgeschwindigkeit verringert wird. Verringert man die Ko</w:t>
      </w:r>
      <w:r>
        <w:rPr>
          <w:rFonts w:asciiTheme="majorHAnsi" w:eastAsiaTheme="minorEastAsia" w:hAnsiTheme="majorHAnsi"/>
          <w:color w:val="auto"/>
        </w:rPr>
        <w:t>n</w:t>
      </w:r>
      <w:r>
        <w:rPr>
          <w:rFonts w:asciiTheme="majorHAnsi" w:eastAsiaTheme="minorEastAsia" w:hAnsiTheme="majorHAnsi"/>
          <w:color w:val="auto"/>
        </w:rPr>
        <w:t xml:space="preserve">zentration auf ein Achtel der Ausgangskonzentration, verringert sich auch die Reaktionsgeschwindigkeit auf ein Achtel der Ausgangsgeschwindigkeit. </w:t>
      </w:r>
    </w:p>
    <w:p w:rsidR="00761B78" w:rsidRDefault="00761B78" w:rsidP="00761B78">
      <w:pPr>
        <w:tabs>
          <w:tab w:val="left" w:pos="1701"/>
          <w:tab w:val="left" w:pos="1985"/>
        </w:tabs>
        <w:ind w:left="1980" w:hanging="1980"/>
        <w:rPr>
          <w:rFonts w:asciiTheme="majorHAnsi" w:eastAsiaTheme="minorEastAsia" w:hAnsiTheme="majorHAnsi"/>
          <w:color w:val="auto"/>
        </w:rPr>
      </w:pPr>
      <w:r>
        <w:rPr>
          <w:rFonts w:asciiTheme="majorHAnsi" w:eastAsiaTheme="minorEastAsia" w:hAnsiTheme="majorHAnsi"/>
          <w:color w:val="auto"/>
        </w:rPr>
        <w:tab/>
      </w:r>
      <w:r>
        <w:rPr>
          <w:rFonts w:asciiTheme="majorHAnsi" w:eastAsiaTheme="minorEastAsia" w:hAnsiTheme="majorHAnsi"/>
          <w:color w:val="auto"/>
        </w:rPr>
        <w:tab/>
        <w:t>Auswertung Teil b):</w:t>
      </w:r>
    </w:p>
    <w:p w:rsidR="00761B78" w:rsidRDefault="00761B78" w:rsidP="00761B78">
      <w:pPr>
        <w:tabs>
          <w:tab w:val="left" w:pos="1701"/>
          <w:tab w:val="left" w:pos="1985"/>
        </w:tabs>
        <w:ind w:left="1980" w:hanging="1980"/>
        <w:rPr>
          <w:rFonts w:asciiTheme="majorHAnsi" w:eastAsiaTheme="minorEastAsia" w:hAnsiTheme="majorHAnsi"/>
          <w:color w:val="auto"/>
        </w:rPr>
      </w:pPr>
      <w:r>
        <w:rPr>
          <w:rFonts w:asciiTheme="majorHAnsi" w:eastAsiaTheme="minorEastAsia" w:hAnsiTheme="majorHAnsi"/>
          <w:color w:val="auto"/>
        </w:rPr>
        <w:tab/>
      </w:r>
      <w:r>
        <w:rPr>
          <w:rFonts w:asciiTheme="majorHAnsi" w:eastAsiaTheme="minorEastAsia" w:hAnsiTheme="majorHAnsi"/>
          <w:color w:val="auto"/>
        </w:rPr>
        <w:tab/>
        <w:t>Je höher die Temperatur ist, bei der eine Reaktion abläuft, desto schneller läuft die Reaktion ab. Die Reaktionsgeschwindigkeit ist also abhängig von der Temperatur. Wenn die Temperatur um20° C erhöht wird, so vervie</w:t>
      </w:r>
      <w:r>
        <w:rPr>
          <w:rFonts w:asciiTheme="majorHAnsi" w:eastAsiaTheme="minorEastAsia" w:hAnsiTheme="majorHAnsi"/>
          <w:color w:val="auto"/>
        </w:rPr>
        <w:t>r</w:t>
      </w:r>
      <w:r>
        <w:rPr>
          <w:rFonts w:asciiTheme="majorHAnsi" w:eastAsiaTheme="minorEastAsia" w:hAnsiTheme="majorHAnsi"/>
          <w:color w:val="auto"/>
        </w:rPr>
        <w:t>facht sich die Reaktionsgeschwindigkeit. Wird die Temperatur um 20° C vermindert, verringert sich die Reaktionsgeschwindigkeit um das Vierf</w:t>
      </w:r>
      <w:r>
        <w:rPr>
          <w:rFonts w:asciiTheme="majorHAnsi" w:eastAsiaTheme="minorEastAsia" w:hAnsiTheme="majorHAnsi"/>
          <w:color w:val="auto"/>
        </w:rPr>
        <w:t>a</w:t>
      </w:r>
      <w:r>
        <w:rPr>
          <w:rFonts w:asciiTheme="majorHAnsi" w:eastAsiaTheme="minorEastAsia" w:hAnsiTheme="majorHAnsi"/>
          <w:color w:val="auto"/>
        </w:rPr>
        <w:t>che</w:t>
      </w:r>
      <w:r>
        <w:rPr>
          <w:rStyle w:val="Funotenzeichen"/>
          <w:rFonts w:asciiTheme="majorHAnsi" w:eastAsiaTheme="minorEastAsia" w:hAnsiTheme="majorHAnsi"/>
          <w:color w:val="auto"/>
        </w:rPr>
        <w:footnoteReference w:id="1"/>
      </w:r>
      <w:r>
        <w:rPr>
          <w:rFonts w:asciiTheme="majorHAnsi" w:eastAsiaTheme="minorEastAsia" w:hAnsiTheme="majorHAnsi"/>
          <w:color w:val="auto"/>
        </w:rPr>
        <w:t xml:space="preserve">. </w:t>
      </w:r>
    </w:p>
    <w:p w:rsidR="00761B78" w:rsidRPr="00834C80" w:rsidRDefault="00761B78" w:rsidP="00761B78">
      <w:pPr>
        <w:tabs>
          <w:tab w:val="left" w:pos="1701"/>
          <w:tab w:val="left" w:pos="1985"/>
        </w:tabs>
        <w:ind w:left="1980" w:hanging="1980"/>
        <w:rPr>
          <w:rFonts w:asciiTheme="majorHAnsi" w:eastAsiaTheme="minorEastAsia" w:hAnsiTheme="majorHAnsi"/>
          <w:color w:val="auto"/>
        </w:rPr>
      </w:pPr>
      <w:r>
        <w:rPr>
          <w:rFonts w:asciiTheme="majorHAnsi" w:eastAsiaTheme="minorEastAsia" w:hAnsiTheme="majorHAnsi"/>
          <w:color w:val="auto"/>
        </w:rPr>
        <w:t xml:space="preserve">Entsorgung: </w:t>
      </w:r>
      <w:r>
        <w:rPr>
          <w:rFonts w:asciiTheme="majorHAnsi" w:eastAsiaTheme="minorEastAsia" w:hAnsiTheme="majorHAnsi"/>
          <w:color w:val="auto"/>
        </w:rPr>
        <w:tab/>
      </w:r>
      <w:r>
        <w:rPr>
          <w:rFonts w:asciiTheme="majorHAnsi" w:eastAsiaTheme="minorEastAsia" w:hAnsiTheme="majorHAnsi"/>
          <w:color w:val="auto"/>
        </w:rPr>
        <w:tab/>
        <w:t>Die abreagierten sauren Lösungen neutralisieren und über das Abwasser entsorgen. Die restlichen Lösungen weiterverwenden oder abreagieren la</w:t>
      </w:r>
      <w:r>
        <w:rPr>
          <w:rFonts w:asciiTheme="majorHAnsi" w:eastAsiaTheme="minorEastAsia" w:hAnsiTheme="majorHAnsi"/>
          <w:color w:val="auto"/>
        </w:rPr>
        <w:t>s</w:t>
      </w:r>
      <w:r>
        <w:rPr>
          <w:rFonts w:asciiTheme="majorHAnsi" w:eastAsiaTheme="minorEastAsia" w:hAnsiTheme="majorHAnsi"/>
          <w:color w:val="auto"/>
        </w:rPr>
        <w:t>sen und ebenfalls über den Abfluss entsorgen.</w:t>
      </w:r>
    </w:p>
    <w:p w:rsidR="00761B78" w:rsidRPr="00834C80" w:rsidRDefault="00761B78" w:rsidP="00761B78">
      <w:pPr>
        <w:spacing w:line="276" w:lineRule="auto"/>
        <w:ind w:left="1980" w:hanging="1980"/>
        <w:jc w:val="left"/>
        <w:rPr>
          <w:rFonts w:asciiTheme="majorHAnsi" w:eastAsiaTheme="majorEastAsia" w:hAnsiTheme="majorHAnsi" w:cstheme="majorBidi"/>
          <w:b/>
          <w:bCs/>
          <w:color w:val="auto"/>
          <w:sz w:val="28"/>
          <w:szCs w:val="28"/>
        </w:rPr>
      </w:pPr>
      <w:r>
        <w:rPr>
          <w:rFonts w:asciiTheme="majorHAnsi" w:hAnsiTheme="majorHAnsi"/>
          <w:color w:val="auto"/>
        </w:rPr>
        <w:t>Literatur:</w:t>
      </w:r>
      <w:r>
        <w:rPr>
          <w:rFonts w:asciiTheme="majorHAnsi" w:hAnsiTheme="majorHAnsi"/>
          <w:color w:val="auto"/>
        </w:rPr>
        <w:tab/>
      </w:r>
      <w:r w:rsidRPr="00886B9E">
        <w:rPr>
          <w:rFonts w:asciiTheme="majorHAnsi" w:hAnsiTheme="majorHAnsi"/>
          <w:color w:val="auto"/>
        </w:rPr>
        <w:t xml:space="preserve">H. </w:t>
      </w:r>
      <w:proofErr w:type="spellStart"/>
      <w:r w:rsidRPr="00886B9E">
        <w:rPr>
          <w:rFonts w:asciiTheme="majorHAnsi" w:hAnsiTheme="majorHAnsi"/>
          <w:color w:val="auto"/>
        </w:rPr>
        <w:t>Böhlan</w:t>
      </w:r>
      <w:proofErr w:type="spellEnd"/>
      <w:r w:rsidRPr="00886B9E">
        <w:rPr>
          <w:rFonts w:asciiTheme="majorHAnsi" w:hAnsiTheme="majorHAnsi"/>
          <w:color w:val="auto"/>
        </w:rPr>
        <w:t>, et al., Chemische Schulexperimente Band 3: Allgemeine, physik</w:t>
      </w:r>
      <w:r w:rsidRPr="00886B9E">
        <w:rPr>
          <w:rFonts w:asciiTheme="majorHAnsi" w:hAnsiTheme="majorHAnsi"/>
          <w:color w:val="auto"/>
        </w:rPr>
        <w:t>a</w:t>
      </w:r>
      <w:r w:rsidRPr="00886B9E">
        <w:rPr>
          <w:rFonts w:asciiTheme="majorHAnsi" w:hAnsiTheme="majorHAnsi"/>
          <w:color w:val="auto"/>
        </w:rPr>
        <w:t>lische und analytische Chemie- Chemie und Umwelt, Volk und Wissen Ve</w:t>
      </w:r>
      <w:r w:rsidRPr="00886B9E">
        <w:rPr>
          <w:rFonts w:asciiTheme="majorHAnsi" w:hAnsiTheme="majorHAnsi"/>
          <w:color w:val="auto"/>
        </w:rPr>
        <w:t>r</w:t>
      </w:r>
      <w:r w:rsidRPr="00886B9E">
        <w:rPr>
          <w:rFonts w:asciiTheme="majorHAnsi" w:hAnsiTheme="majorHAnsi"/>
          <w:color w:val="auto"/>
        </w:rPr>
        <w:t>lag, 1. Aufla</w:t>
      </w:r>
      <w:r>
        <w:rPr>
          <w:rFonts w:asciiTheme="majorHAnsi" w:hAnsiTheme="majorHAnsi"/>
          <w:color w:val="auto"/>
        </w:rPr>
        <w:t>ge, 2002, S. 98</w:t>
      </w:r>
      <w:r w:rsidRPr="00886B9E">
        <w:rPr>
          <w:rFonts w:asciiTheme="majorHAnsi" w:hAnsiTheme="majorHAnsi"/>
          <w:color w:val="auto"/>
        </w:rPr>
        <w:t>-</w:t>
      </w:r>
      <w:r>
        <w:rPr>
          <w:rFonts w:asciiTheme="majorHAnsi" w:hAnsiTheme="majorHAnsi"/>
          <w:color w:val="auto"/>
        </w:rPr>
        <w:t>99</w:t>
      </w:r>
      <w:r w:rsidRPr="00886B9E">
        <w:rPr>
          <w:rFonts w:asciiTheme="majorHAnsi" w:hAnsiTheme="majorHAnsi"/>
          <w:color w:val="auto"/>
        </w:rPr>
        <w:t>.</w:t>
      </w:r>
    </w:p>
    <w:p w:rsidR="00761B78" w:rsidRPr="00374ABA" w:rsidRDefault="00761B78" w:rsidP="00761B78">
      <w:pPr>
        <w:tabs>
          <w:tab w:val="left" w:pos="1701"/>
          <w:tab w:val="left" w:pos="1985"/>
        </w:tabs>
        <w:ind w:left="1980" w:hanging="1980"/>
        <w:rPr>
          <w:color w:val="auto"/>
        </w:rPr>
      </w:pPr>
    </w:p>
    <w:p w:rsidR="00761B78" w:rsidRDefault="00761B78" w:rsidP="00761B78">
      <w:pPr>
        <w:tabs>
          <w:tab w:val="left" w:pos="1701"/>
          <w:tab w:val="left" w:pos="1985"/>
        </w:tabs>
        <w:ind w:left="1980" w:hanging="1980"/>
        <w:rPr>
          <w:color w:val="auto"/>
        </w:rPr>
      </w:pPr>
      <w:r>
        <w:rPr>
          <w:color w:val="auto"/>
        </w:rPr>
      </w:r>
      <w:r>
        <w:rPr>
          <w:color w:val="auto"/>
        </w:rPr>
        <w:pict>
          <v:shape id="_x0000_s1026" type="#_x0000_t202" style="width:462.45pt;height:201.9pt;mso-position-horizontal-relative:char;mso-position-vertical-relative:line;mso-width-relative:margin;mso-height-relative:margin" fillcolor="white [3201]" strokecolor="#c0504d [3205]" strokeweight="1pt">
            <v:stroke dashstyle="dash"/>
            <v:shadow color="#868686"/>
            <v:textbox style="mso-next-textbox:#_x0000_s1026">
              <w:txbxContent>
                <w:p w:rsidR="00761B78" w:rsidRDefault="00761B78" w:rsidP="00761B78">
                  <w:pPr>
                    <w:rPr>
                      <w:color w:val="auto"/>
                    </w:rPr>
                  </w:pPr>
                  <w:r>
                    <w:rPr>
                      <w:color w:val="auto"/>
                    </w:rPr>
                    <w:t>Dieser Versuch eignet sich sehr gut, um die Grundlagen der Einflüsse auf die Reaktionsg</w:t>
                  </w:r>
                  <w:r>
                    <w:rPr>
                      <w:color w:val="auto"/>
                    </w:rPr>
                    <w:t>e</w:t>
                  </w:r>
                  <w:r>
                    <w:rPr>
                      <w:color w:val="auto"/>
                    </w:rPr>
                    <w:t>schwindigkeit zu erarbeiten, welche dann im Anschluss gut von den SuS überprüft werden können. Aufgrund der Konzentration der Schwefelsäure empfiehlt es sich nicht, diesen Versuch von den SuS alleine durchführen zu lassen. Allerdings können sie bei der Zugabe der Kaliu</w:t>
                  </w:r>
                  <w:r>
                    <w:rPr>
                      <w:color w:val="auto"/>
                    </w:rPr>
                    <w:t>m</w:t>
                  </w:r>
                  <w:r>
                    <w:rPr>
                      <w:color w:val="auto"/>
                    </w:rPr>
                    <w:t xml:space="preserve">permanganat-Lösung und beim stoppen der Zeit mithelfen. Bei einem kleinen Kurs könnte man den Versuch deshalb auch mehrmals durchführen, um die </w:t>
                  </w:r>
                  <w:proofErr w:type="spellStart"/>
                  <w:r>
                    <w:rPr>
                      <w:color w:val="auto"/>
                    </w:rPr>
                    <w:t>Messgenauigkeit</w:t>
                  </w:r>
                  <w:proofErr w:type="spellEnd"/>
                  <w:r>
                    <w:rPr>
                      <w:color w:val="auto"/>
                    </w:rPr>
                    <w:t xml:space="preserve"> zu verbessern. In diesem Zusammenhang kann der Versuch auch sehr gut dafür genutzt werden, das wisse</w:t>
                  </w:r>
                  <w:r>
                    <w:rPr>
                      <w:color w:val="auto"/>
                    </w:rPr>
                    <w:t>n</w:t>
                  </w:r>
                  <w:r>
                    <w:rPr>
                      <w:color w:val="auto"/>
                    </w:rPr>
                    <w:t xml:space="preserve">schaftliche Arbeiten zu üben und mit den SuS Überlegungen anzustellen, wodurch Messfehler zustande kommen können. Dies wiederum soll helfen, ihre Experimentierfähigkeiten weiter zu verbessern. </w:t>
                  </w:r>
                </w:p>
                <w:p w:rsidR="00761B78" w:rsidRPr="00374ABA" w:rsidRDefault="00761B78" w:rsidP="00761B78">
                  <w:pPr>
                    <w:rPr>
                      <w:color w:val="auto"/>
                    </w:rPr>
                  </w:pPr>
                </w:p>
              </w:txbxContent>
            </v:textbox>
            <w10:wrap type="none"/>
            <w10:anchorlock/>
          </v:shape>
        </w:pict>
      </w:r>
    </w:p>
    <w:p w:rsidR="006A70ED" w:rsidRDefault="006A70ED"/>
    <w:sectPr w:rsidR="006A70ED" w:rsidSect="006A70ED">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32D" w:rsidRDefault="00EC432D" w:rsidP="00761B78">
      <w:pPr>
        <w:spacing w:after="0" w:line="240" w:lineRule="auto"/>
      </w:pPr>
      <w:r>
        <w:separator/>
      </w:r>
    </w:p>
  </w:endnote>
  <w:endnote w:type="continuationSeparator" w:id="0">
    <w:p w:rsidR="00EC432D" w:rsidRDefault="00EC432D" w:rsidP="00761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32D" w:rsidRDefault="00EC432D" w:rsidP="00761B78">
      <w:pPr>
        <w:spacing w:after="0" w:line="240" w:lineRule="auto"/>
      </w:pPr>
      <w:r>
        <w:separator/>
      </w:r>
    </w:p>
  </w:footnote>
  <w:footnote w:type="continuationSeparator" w:id="0">
    <w:p w:rsidR="00EC432D" w:rsidRDefault="00EC432D" w:rsidP="00761B78">
      <w:pPr>
        <w:spacing w:after="0" w:line="240" w:lineRule="auto"/>
      </w:pPr>
      <w:r>
        <w:continuationSeparator/>
      </w:r>
    </w:p>
  </w:footnote>
  <w:footnote w:id="1">
    <w:p w:rsidR="00761B78" w:rsidRDefault="00761B78" w:rsidP="00761B78">
      <w:pPr>
        <w:pStyle w:val="Funotentext"/>
      </w:pPr>
      <w:r>
        <w:rPr>
          <w:rStyle w:val="Funotenzeichen"/>
        </w:rPr>
        <w:footnoteRef/>
      </w:r>
      <w:r>
        <w:t xml:space="preserve"> Hieraus kann wenn es gewünscht ist die RGT-Regel hergeleitet werden. Sollte dies gewünscht sein, sollte die Regel anschließend an weiteren Experimenten erprobt werden.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761B78"/>
    <w:rsid w:val="006A70ED"/>
    <w:rsid w:val="00761B78"/>
    <w:rsid w:val="00EC432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1B78"/>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761B7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61B7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61B7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61B7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61B7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61B7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61B7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61B7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61B7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1B78"/>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761B78"/>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761B78"/>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761B78"/>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61B78"/>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61B78"/>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61B7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61B7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61B78"/>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761B78"/>
    <w:pPr>
      <w:spacing w:line="240" w:lineRule="auto"/>
    </w:pPr>
    <w:rPr>
      <w:bCs/>
      <w:color w:val="auto"/>
      <w:sz w:val="18"/>
      <w:szCs w:val="18"/>
    </w:rPr>
  </w:style>
  <w:style w:type="table" w:styleId="Tabellengitternetz">
    <w:name w:val="Table Grid"/>
    <w:basedOn w:val="NormaleTabelle"/>
    <w:uiPriority w:val="59"/>
    <w:rsid w:val="00761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semiHidden/>
    <w:unhideWhenUsed/>
    <w:rsid w:val="00761B7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61B78"/>
    <w:rPr>
      <w:rFonts w:ascii="Cambria" w:hAnsi="Cambria"/>
      <w:color w:val="1D1B11" w:themeColor="background2" w:themeShade="1A"/>
      <w:sz w:val="20"/>
      <w:szCs w:val="20"/>
    </w:rPr>
  </w:style>
  <w:style w:type="character" w:styleId="Funotenzeichen">
    <w:name w:val="footnote reference"/>
    <w:basedOn w:val="Absatz-Standardschriftart"/>
    <w:uiPriority w:val="99"/>
    <w:semiHidden/>
    <w:unhideWhenUsed/>
    <w:rsid w:val="00761B78"/>
    <w:rPr>
      <w:vertAlign w:val="superscript"/>
    </w:rPr>
  </w:style>
  <w:style w:type="paragraph" w:styleId="Sprechblasentext">
    <w:name w:val="Balloon Text"/>
    <w:basedOn w:val="Standard"/>
    <w:link w:val="SprechblasentextZchn"/>
    <w:uiPriority w:val="99"/>
    <w:semiHidden/>
    <w:unhideWhenUsed/>
    <w:rsid w:val="00761B7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1B78"/>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691</Words>
  <Characters>4358</Characters>
  <Application>Microsoft Office Word</Application>
  <DocSecurity>0</DocSecurity>
  <Lines>36</Lines>
  <Paragraphs>10</Paragraphs>
  <ScaleCrop>false</ScaleCrop>
  <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1</cp:revision>
  <dcterms:created xsi:type="dcterms:W3CDTF">2013-08-13T16:48:00Z</dcterms:created>
  <dcterms:modified xsi:type="dcterms:W3CDTF">2013-08-13T16:48:00Z</dcterms:modified>
</cp:coreProperties>
</file>