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74" w:rsidRDefault="006C4E74" w:rsidP="006C4E74">
      <w:pPr>
        <w:pStyle w:val="berschrift2"/>
        <w:numPr>
          <w:ilvl w:val="0"/>
          <w:numId w:val="0"/>
        </w:numPr>
        <w:ind w:left="576" w:hanging="576"/>
      </w:pPr>
      <w:bookmarkStart w:id="0" w:name="_Toc363815227"/>
      <w:r>
        <w:t>V 3 – Die Abhängigkeit der Reaktionsgeschwindigkeit von der Temperatur: Die R</w:t>
      </w:r>
      <w:r>
        <w:t>e</w:t>
      </w:r>
      <w:r>
        <w:t xml:space="preserve">aktion von Salzsäure mit </w:t>
      </w:r>
      <w:proofErr w:type="spellStart"/>
      <w:r>
        <w:t>Natriumthiosulfat</w:t>
      </w:r>
      <w:proofErr w:type="spellEnd"/>
      <w:r>
        <w:t xml:space="preserve"> bei verschiedenen Temperaturen</w:t>
      </w:r>
      <w:bookmarkEnd w:id="0"/>
    </w:p>
    <w:p w:rsidR="006C4E74" w:rsidRPr="00D40237" w:rsidRDefault="006C4E74" w:rsidP="006C4E74">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15pt;margin-top:19.35pt;width:462.45pt;height:165pt;z-index:251660288;mso-width-relative:margin;mso-height-relative:margin" fillcolor="white [3201]" strokecolor="#4bacc6 [3208]" strokeweight="1pt">
            <v:stroke dashstyle="dash"/>
            <v:shadow color="#868686"/>
            <v:textbox style="mso-next-textbox:#_x0000_s1027">
              <w:txbxContent>
                <w:p w:rsidR="006C4E74" w:rsidRDefault="006C4E74" w:rsidP="006C4E74">
                  <w:pPr>
                    <w:rPr>
                      <w:color w:val="000000" w:themeColor="text1"/>
                    </w:rPr>
                  </w:pPr>
                  <w:r w:rsidRPr="00931C55">
                    <w:rPr>
                      <w:color w:val="000000" w:themeColor="text1"/>
                    </w:rPr>
                    <w:t>Bei diesem Versuch soll die Temperaturabhängigkeit der Reaktionsgeschwindigkeit erarbeitet werden. Hierzu wird die Zeit gemessen, die vom zusammengeben der Lösungen bis zu deren Farbänderung bei verschiedenen Temperaturen vergeht.</w:t>
                  </w:r>
                </w:p>
                <w:p w:rsidR="006C4E74" w:rsidRPr="00931C55" w:rsidRDefault="006C4E74" w:rsidP="006C4E74">
                  <w:pPr>
                    <w:rPr>
                      <w:color w:val="000000" w:themeColor="text1"/>
                    </w:rPr>
                  </w:pPr>
                  <w:r>
                    <w:rPr>
                      <w:color w:val="000000" w:themeColor="text1"/>
                    </w:rPr>
                    <w:t>Die SuS sollten zum Verständnis des Versuchs bereits Redoxreaktionen kennen und Oxidat</w:t>
                  </w:r>
                  <w:r>
                    <w:rPr>
                      <w:color w:val="000000" w:themeColor="text1"/>
                    </w:rPr>
                    <w:t>i</w:t>
                  </w:r>
                  <w:r>
                    <w:rPr>
                      <w:color w:val="000000" w:themeColor="text1"/>
                    </w:rPr>
                    <w:t>onszahlen zuteilen können. Dieser Versuch eignet sich sowohl zur Einführung als auch zur We</w:t>
                  </w:r>
                  <w:r>
                    <w:rPr>
                      <w:color w:val="000000" w:themeColor="text1"/>
                    </w:rPr>
                    <w:t>i</w:t>
                  </w:r>
                  <w:r>
                    <w:rPr>
                      <w:color w:val="000000" w:themeColor="text1"/>
                    </w:rPr>
                    <w:t xml:space="preserve">terführung der Einheit zur Reaktionsgeschwindigkeit. Es bietet sich hier an, den Versuch von mehreren Schülergruppen durchführen zu lassen, um die </w:t>
                  </w:r>
                  <w:proofErr w:type="spellStart"/>
                  <w:r>
                    <w:rPr>
                      <w:color w:val="000000" w:themeColor="text1"/>
                    </w:rPr>
                    <w:t>Messergebnisse</w:t>
                  </w:r>
                  <w:proofErr w:type="spellEnd"/>
                  <w:r>
                    <w:rPr>
                      <w:color w:val="000000" w:themeColor="text1"/>
                    </w:rPr>
                    <w:t xml:space="preserve"> </w:t>
                  </w:r>
                  <w:proofErr w:type="spellStart"/>
                  <w:r>
                    <w:rPr>
                      <w:color w:val="000000" w:themeColor="text1"/>
                    </w:rPr>
                    <w:t>mitteln</w:t>
                  </w:r>
                  <w:proofErr w:type="spellEnd"/>
                  <w:r>
                    <w:rPr>
                      <w:color w:val="000000" w:themeColor="text1"/>
                    </w:rPr>
                    <w:t xml:space="preserve"> zu können.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C4E74" w:rsidRPr="009C5E28" w:rsidTr="00547291">
        <w:tc>
          <w:tcPr>
            <w:tcW w:w="9322" w:type="dxa"/>
            <w:gridSpan w:val="9"/>
            <w:shd w:val="clear" w:color="auto" w:fill="4F81BD"/>
            <w:vAlign w:val="center"/>
          </w:tcPr>
          <w:p w:rsidR="006C4E74" w:rsidRPr="009C5E28" w:rsidRDefault="006C4E74" w:rsidP="00547291">
            <w:pPr>
              <w:spacing w:after="0"/>
              <w:jc w:val="center"/>
              <w:rPr>
                <w:b/>
                <w:bCs/>
              </w:rPr>
            </w:pPr>
            <w:r w:rsidRPr="009C5E28">
              <w:rPr>
                <w:b/>
                <w:bCs/>
              </w:rPr>
              <w:t>Gefahrenstoffe</w:t>
            </w:r>
          </w:p>
        </w:tc>
      </w:tr>
      <w:tr w:rsidR="006C4E74" w:rsidRPr="009C5E28" w:rsidTr="005472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C4E74" w:rsidRPr="009C5E28" w:rsidRDefault="006C4E74" w:rsidP="00547291">
            <w:pPr>
              <w:spacing w:after="0" w:line="276" w:lineRule="auto"/>
              <w:jc w:val="center"/>
              <w:rPr>
                <w:b/>
                <w:bCs/>
              </w:rPr>
            </w:pPr>
            <w:proofErr w:type="spellStart"/>
            <w:r>
              <w:rPr>
                <w:sz w:val="20"/>
              </w:rPr>
              <w:t>Natriumthiosulfat</w:t>
            </w:r>
            <w:proofErr w:type="spellEnd"/>
          </w:p>
        </w:tc>
        <w:tc>
          <w:tcPr>
            <w:tcW w:w="3177" w:type="dxa"/>
            <w:gridSpan w:val="3"/>
            <w:tcBorders>
              <w:top w:val="single" w:sz="8" w:space="0" w:color="4F81BD"/>
              <w:bottom w:val="single" w:sz="8" w:space="0" w:color="4F81BD"/>
            </w:tcBorders>
            <w:shd w:val="clear" w:color="auto" w:fill="auto"/>
            <w:vAlign w:val="center"/>
          </w:tcPr>
          <w:p w:rsidR="006C4E74" w:rsidRPr="009C5E28" w:rsidRDefault="006C4E74" w:rsidP="00547291">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C4E74" w:rsidRPr="009C5E28" w:rsidRDefault="006C4E74" w:rsidP="00547291">
            <w:pPr>
              <w:spacing w:after="0"/>
              <w:jc w:val="center"/>
            </w:pPr>
            <w:r w:rsidRPr="009C5E28">
              <w:rPr>
                <w:sz w:val="20"/>
              </w:rPr>
              <w:t xml:space="preserve">P: </w:t>
            </w:r>
            <w:r>
              <w:t>-</w:t>
            </w:r>
          </w:p>
        </w:tc>
      </w:tr>
      <w:tr w:rsidR="006C4E74" w:rsidRPr="009C5E28" w:rsidTr="00547291">
        <w:trPr>
          <w:trHeight w:val="434"/>
        </w:trPr>
        <w:tc>
          <w:tcPr>
            <w:tcW w:w="3027" w:type="dxa"/>
            <w:gridSpan w:val="3"/>
            <w:shd w:val="clear" w:color="auto" w:fill="auto"/>
            <w:vAlign w:val="center"/>
          </w:tcPr>
          <w:p w:rsidR="006C4E74" w:rsidRPr="009C5E28" w:rsidRDefault="006C4E74" w:rsidP="00547291">
            <w:pPr>
              <w:spacing w:after="0" w:line="276" w:lineRule="auto"/>
              <w:jc w:val="center"/>
              <w:rPr>
                <w:bCs/>
                <w:sz w:val="20"/>
              </w:rPr>
            </w:pPr>
            <w:r>
              <w:rPr>
                <w:color w:val="auto"/>
                <w:sz w:val="20"/>
                <w:szCs w:val="20"/>
              </w:rPr>
              <w:t xml:space="preserve">Salzsäure (2 </w:t>
            </w:r>
            <w:proofErr w:type="spellStart"/>
            <w:r>
              <w:rPr>
                <w:color w:val="auto"/>
                <w:sz w:val="20"/>
                <w:szCs w:val="20"/>
              </w:rPr>
              <w:t>mol</w:t>
            </w:r>
            <w:proofErr w:type="spellEnd"/>
            <w:r>
              <w:rPr>
                <w:color w:val="auto"/>
                <w:sz w:val="20"/>
                <w:szCs w:val="20"/>
              </w:rPr>
              <w:t>/L)</w:t>
            </w:r>
          </w:p>
        </w:tc>
        <w:tc>
          <w:tcPr>
            <w:tcW w:w="3177" w:type="dxa"/>
            <w:gridSpan w:val="3"/>
            <w:shd w:val="clear" w:color="auto" w:fill="auto"/>
            <w:vAlign w:val="center"/>
          </w:tcPr>
          <w:p w:rsidR="006C4E74" w:rsidRPr="009C5E28" w:rsidRDefault="006C4E74" w:rsidP="00547291">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6C4E74" w:rsidRPr="009C5E28" w:rsidRDefault="006C4E74" w:rsidP="00547291">
            <w:pPr>
              <w:pStyle w:val="Beschriftung"/>
              <w:spacing w:after="0"/>
              <w:jc w:val="center"/>
              <w:rPr>
                <w:sz w:val="20"/>
              </w:rPr>
            </w:pPr>
            <w:r w:rsidRPr="009C5E28">
              <w:rPr>
                <w:sz w:val="20"/>
              </w:rPr>
              <w:t xml:space="preserve">P: </w:t>
            </w:r>
            <w:r>
              <w:t>-</w:t>
            </w:r>
          </w:p>
        </w:tc>
      </w:tr>
      <w:tr w:rsidR="006C4E74" w:rsidRPr="009C5E28" w:rsidTr="00547291">
        <w:tc>
          <w:tcPr>
            <w:tcW w:w="1009" w:type="dxa"/>
            <w:tcBorders>
              <w:top w:val="single" w:sz="8" w:space="0" w:color="4F81BD"/>
              <w:left w:val="single" w:sz="8" w:space="0" w:color="4F81BD"/>
              <w:bottom w:val="single" w:sz="8" w:space="0" w:color="4F81BD"/>
            </w:tcBorders>
            <w:shd w:val="clear" w:color="auto" w:fill="auto"/>
            <w:vAlign w:val="center"/>
          </w:tcPr>
          <w:p w:rsidR="006C4E74" w:rsidRPr="009C5E28" w:rsidRDefault="006C4E74" w:rsidP="00547291">
            <w:pPr>
              <w:spacing w:after="0"/>
              <w:jc w:val="center"/>
              <w:rPr>
                <w:b/>
                <w:bCs/>
              </w:rPr>
            </w:pPr>
            <w:r>
              <w:rPr>
                <w:b/>
                <w:noProof/>
                <w:lang w:eastAsia="de-DE"/>
              </w:rPr>
              <w:drawing>
                <wp:inline distT="0" distB="0" distL="0" distR="0">
                  <wp:extent cx="504190" cy="504190"/>
                  <wp:effectExtent l="19050" t="0" r="0" b="0"/>
                  <wp:docPr id="2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4E74" w:rsidRPr="009C5E28" w:rsidRDefault="006C4E74" w:rsidP="00547291">
            <w:pPr>
              <w:spacing w:after="0"/>
              <w:jc w:val="center"/>
            </w:pPr>
            <w:r>
              <w:rPr>
                <w:noProof/>
                <w:lang w:eastAsia="de-DE"/>
              </w:rPr>
              <w:drawing>
                <wp:inline distT="0" distB="0" distL="0" distR="0">
                  <wp:extent cx="504190" cy="504190"/>
                  <wp:effectExtent l="0" t="0" r="0" b="0"/>
                  <wp:docPr id="2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4E74" w:rsidRPr="009C5E28" w:rsidRDefault="006C4E74" w:rsidP="00547291">
            <w:pPr>
              <w:spacing w:after="0"/>
              <w:jc w:val="center"/>
            </w:pPr>
            <w:r>
              <w:rPr>
                <w:noProof/>
                <w:lang w:eastAsia="de-DE"/>
              </w:rPr>
              <w:drawing>
                <wp:inline distT="0" distB="0" distL="0" distR="0">
                  <wp:extent cx="504190" cy="504190"/>
                  <wp:effectExtent l="0" t="0" r="0" b="0"/>
                  <wp:docPr id="2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4E74" w:rsidRPr="009C5E28" w:rsidRDefault="006C4E74" w:rsidP="00547291">
            <w:pPr>
              <w:spacing w:after="0"/>
              <w:jc w:val="center"/>
            </w:pPr>
            <w:r>
              <w:rPr>
                <w:noProof/>
                <w:lang w:eastAsia="de-DE"/>
              </w:rPr>
              <w:drawing>
                <wp:inline distT="0" distB="0" distL="0" distR="0">
                  <wp:extent cx="504190" cy="504190"/>
                  <wp:effectExtent l="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C4E74" w:rsidRPr="009C5E28" w:rsidRDefault="006C4E74" w:rsidP="00547291">
            <w:pPr>
              <w:spacing w:after="0"/>
              <w:jc w:val="center"/>
            </w:pPr>
            <w:r>
              <w:rPr>
                <w:noProof/>
                <w:lang w:eastAsia="de-DE"/>
              </w:rPr>
              <w:drawing>
                <wp:inline distT="0" distB="0" distL="0" distR="0">
                  <wp:extent cx="504190" cy="504190"/>
                  <wp:effectExtent l="0" t="0" r="0" b="0"/>
                  <wp:docPr id="3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C4E74" w:rsidRPr="009C5E28" w:rsidRDefault="006C4E74" w:rsidP="00547291">
            <w:pPr>
              <w:spacing w:after="0"/>
              <w:jc w:val="center"/>
            </w:pPr>
            <w:r>
              <w:rPr>
                <w:noProof/>
                <w:lang w:eastAsia="de-DE"/>
              </w:rPr>
              <w:drawing>
                <wp:inline distT="0" distB="0" distL="0" distR="0">
                  <wp:extent cx="504190" cy="504190"/>
                  <wp:effectExtent l="0" t="0" r="0" b="0"/>
                  <wp:docPr id="4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C4E74" w:rsidRPr="009C5E28" w:rsidRDefault="006C4E74" w:rsidP="00547291">
            <w:pPr>
              <w:spacing w:after="0"/>
              <w:jc w:val="center"/>
            </w:pPr>
            <w:r>
              <w:rPr>
                <w:noProof/>
                <w:lang w:eastAsia="de-DE"/>
              </w:rPr>
              <w:drawing>
                <wp:inline distT="0" distB="0" distL="0" distR="0">
                  <wp:extent cx="504190" cy="504190"/>
                  <wp:effectExtent l="0" t="0" r="0" b="0"/>
                  <wp:docPr id="4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4E74" w:rsidRPr="009C5E28" w:rsidRDefault="006C4E74" w:rsidP="00547291">
            <w:pPr>
              <w:spacing w:after="0"/>
              <w:jc w:val="center"/>
            </w:pPr>
            <w:r>
              <w:rPr>
                <w:noProof/>
                <w:lang w:eastAsia="de-DE"/>
              </w:rPr>
              <w:drawing>
                <wp:inline distT="0" distB="0" distL="0" distR="0">
                  <wp:extent cx="511175" cy="511175"/>
                  <wp:effectExtent l="19050" t="0" r="3175" b="0"/>
                  <wp:docPr id="4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C4E74" w:rsidRPr="009C5E28" w:rsidRDefault="006C4E74" w:rsidP="00547291">
            <w:pPr>
              <w:spacing w:after="0"/>
              <w:jc w:val="center"/>
            </w:pPr>
            <w:r>
              <w:rPr>
                <w:noProof/>
                <w:lang w:eastAsia="de-DE"/>
              </w:rPr>
              <w:drawing>
                <wp:inline distT="0" distB="0" distL="0" distR="0">
                  <wp:extent cx="504190" cy="504190"/>
                  <wp:effectExtent l="0" t="0" r="0" b="0"/>
                  <wp:docPr id="4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C4E74" w:rsidRDefault="006C4E74" w:rsidP="006C4E74">
      <w:pPr>
        <w:tabs>
          <w:tab w:val="left" w:pos="1701"/>
          <w:tab w:val="left" w:pos="1985"/>
        </w:tabs>
        <w:ind w:left="1980" w:hanging="1980"/>
      </w:pPr>
    </w:p>
    <w:p w:rsidR="006C4E74" w:rsidRDefault="006C4E74" w:rsidP="006C4E74">
      <w:pPr>
        <w:tabs>
          <w:tab w:val="left" w:pos="1701"/>
          <w:tab w:val="left" w:pos="1985"/>
        </w:tabs>
        <w:ind w:left="1980" w:hanging="1980"/>
      </w:pPr>
      <w:r>
        <w:t xml:space="preserve">Materialien: </w:t>
      </w:r>
      <w:r>
        <w:tab/>
      </w:r>
      <w:r>
        <w:tab/>
        <w:t xml:space="preserve">Becherglas hoch (V= 250 </w:t>
      </w:r>
      <w:proofErr w:type="spellStart"/>
      <w:r>
        <w:t>mL</w:t>
      </w:r>
      <w:proofErr w:type="spellEnd"/>
      <w:r>
        <w:t xml:space="preserve">), Messzylinder (V= 50 </w:t>
      </w:r>
      <w:proofErr w:type="spellStart"/>
      <w:r>
        <w:t>mL</w:t>
      </w:r>
      <w:proofErr w:type="spellEnd"/>
      <w:r>
        <w:t xml:space="preserve">), </w:t>
      </w:r>
      <w:proofErr w:type="spellStart"/>
      <w:r>
        <w:t>Messpipette</w:t>
      </w:r>
      <w:proofErr w:type="spellEnd"/>
      <w:r>
        <w:t xml:space="preserve"> (V= 5 </w:t>
      </w:r>
      <w:proofErr w:type="spellStart"/>
      <w:r>
        <w:t>mL</w:t>
      </w:r>
      <w:proofErr w:type="spellEnd"/>
      <w:r>
        <w:t xml:space="preserve">), weißes Papier mit rotem Kreuz, Stoppuhr, Thermometer, Schüssel für </w:t>
      </w:r>
      <w:proofErr w:type="spellStart"/>
      <w:r>
        <w:t>Eisbad</w:t>
      </w:r>
      <w:proofErr w:type="spellEnd"/>
    </w:p>
    <w:p w:rsidR="006C4E74" w:rsidRPr="005C1A36" w:rsidRDefault="006C4E74" w:rsidP="006C4E74">
      <w:pPr>
        <w:tabs>
          <w:tab w:val="left" w:pos="1701"/>
          <w:tab w:val="left" w:pos="1985"/>
        </w:tabs>
        <w:ind w:left="1980" w:hanging="1980"/>
      </w:pPr>
      <w:r>
        <w:t>Chemikalien:</w:t>
      </w:r>
      <w:r>
        <w:tab/>
      </w:r>
      <w:r>
        <w:tab/>
      </w:r>
      <w:proofErr w:type="spellStart"/>
      <w:r>
        <w:t>Natriumthiosulfat</w:t>
      </w:r>
      <w:proofErr w:type="spellEnd"/>
      <w:r>
        <w:t>-Lösung ( c(Na</w:t>
      </w:r>
      <w:r>
        <w:rPr>
          <w:vertAlign w:val="subscript"/>
        </w:rPr>
        <w:t>2</w:t>
      </w:r>
      <w:r>
        <w:t>S</w:t>
      </w:r>
      <w:r>
        <w:rPr>
          <w:vertAlign w:val="subscript"/>
        </w:rPr>
        <w:t>2</w:t>
      </w:r>
      <w:r>
        <w:t>O</w:t>
      </w:r>
      <w:r>
        <w:rPr>
          <w:vertAlign w:val="subscript"/>
        </w:rPr>
        <w:t>3</w:t>
      </w:r>
      <w:r>
        <w:t xml:space="preserve">)=0,05 </w:t>
      </w:r>
      <w:proofErr w:type="spellStart"/>
      <w:r>
        <w:t>mol</w:t>
      </w:r>
      <w:proofErr w:type="spellEnd"/>
      <w:r>
        <w:t>/L), Salzsäure (c(</w:t>
      </w:r>
      <w:proofErr w:type="spellStart"/>
      <w:r>
        <w:t>HCl</w:t>
      </w:r>
      <w:proofErr w:type="spellEnd"/>
      <w:r>
        <w:t xml:space="preserve">)=2 </w:t>
      </w:r>
      <w:proofErr w:type="spellStart"/>
      <w:r>
        <w:t>mol</w:t>
      </w:r>
      <w:proofErr w:type="spellEnd"/>
      <w:r>
        <w:t>/L), Eiswasser, destilliertes Wasser</w:t>
      </w:r>
    </w:p>
    <w:p w:rsidR="006C4E74" w:rsidRDefault="006C4E74" w:rsidP="006C4E74">
      <w:pPr>
        <w:tabs>
          <w:tab w:val="left" w:pos="1701"/>
          <w:tab w:val="left" w:pos="1985"/>
        </w:tabs>
        <w:ind w:left="1980" w:hanging="1980"/>
      </w:pPr>
      <w:r>
        <w:t xml:space="preserve">Durchführung: </w:t>
      </w:r>
      <w:r>
        <w:tab/>
      </w:r>
      <w:r>
        <w:tab/>
        <w:t xml:space="preserve">In einem Becherglas werden 50 </w:t>
      </w:r>
      <w:proofErr w:type="spellStart"/>
      <w:r>
        <w:t>mL</w:t>
      </w:r>
      <w:proofErr w:type="spellEnd"/>
      <w:r>
        <w:t xml:space="preserve"> </w:t>
      </w:r>
      <w:proofErr w:type="spellStart"/>
      <w:r>
        <w:t>Natriumthiosulfat</w:t>
      </w:r>
      <w:proofErr w:type="spellEnd"/>
      <w:r>
        <w:t xml:space="preserve">-Lösung mit 5 </w:t>
      </w:r>
      <w:proofErr w:type="spellStart"/>
      <w:r>
        <w:t>mL</w:t>
      </w:r>
      <w:proofErr w:type="spellEnd"/>
      <w:r>
        <w:t xml:space="preserve"> Salzsäure versetzt. Dieses wird auf ein Blatt Papier gestellt und die Zeit bis das Kreuz nicht mehr sichtbar ist wird gestoppt. Nun wird der Versuch mehrmals wiederholt, wobei die </w:t>
      </w:r>
      <w:proofErr w:type="spellStart"/>
      <w:r>
        <w:t>Natriumthiosulfat</w:t>
      </w:r>
      <w:proofErr w:type="spellEnd"/>
      <w:r>
        <w:t>-Lösung vor Zugabe der Salzsäure auf Temperaturen zwischen 10° C und 60° C temperiert werden. Es empfiehlt sich hierbei in 10° C Schritten zu arbeiten und von der Rau</w:t>
      </w:r>
      <w:r>
        <w:t>m</w:t>
      </w:r>
      <w:r>
        <w:t xml:space="preserve">temperatur auszugehen. Entwickeln die SuS den Versuchsaufbau selbst, sollten auch die Temperaturintervalle selbst gewählt werden. </w:t>
      </w:r>
    </w:p>
    <w:p w:rsidR="006C4E74" w:rsidRDefault="006C4E74" w:rsidP="006C4E74">
      <w:pPr>
        <w:tabs>
          <w:tab w:val="left" w:pos="1701"/>
          <w:tab w:val="left" w:pos="1985"/>
        </w:tabs>
        <w:ind w:left="1980" w:hanging="1980"/>
      </w:pPr>
      <w:r>
        <w:lastRenderedPageBreak/>
        <w:t>Beobachtung:</w:t>
      </w:r>
      <w:r>
        <w:tab/>
      </w:r>
      <w:r>
        <w:tab/>
      </w:r>
      <w:r>
        <w:tab/>
        <w:t xml:space="preserve">Bei Zugabe der Salzsäure ist die Lösung zunächst klar. Nach kurzer Zeit färbt sie sich jedoch gelb. Je höher die Temperatur der Lösung ist, desto schneller verfärbt sie sich. Je tiefer die Temperatur der </w:t>
      </w:r>
      <w:proofErr w:type="spellStart"/>
      <w:r>
        <w:t>Natriumthiosulfat</w:t>
      </w:r>
      <w:proofErr w:type="spellEnd"/>
      <w:r>
        <w:t xml:space="preserve">-Lösung, desto langsamer verfärbt sich die Lösung. Die genauen </w:t>
      </w:r>
      <w:proofErr w:type="spellStart"/>
      <w:r>
        <w:t>Messerge</w:t>
      </w:r>
      <w:r>
        <w:t>b</w:t>
      </w:r>
      <w:r>
        <w:t>nisse</w:t>
      </w:r>
      <w:proofErr w:type="spellEnd"/>
      <w:r>
        <w:t xml:space="preserve"> sind in Tabelle 3.1 dargestellt.</w:t>
      </w:r>
    </w:p>
    <w:tbl>
      <w:tblPr>
        <w:tblStyle w:val="Tabellengitternetz"/>
        <w:tblW w:w="0" w:type="auto"/>
        <w:tblInd w:w="1980" w:type="dxa"/>
        <w:tblLook w:val="04A0"/>
      </w:tblPr>
      <w:tblGrid>
        <w:gridCol w:w="3632"/>
        <w:gridCol w:w="3676"/>
      </w:tblGrid>
      <w:tr w:rsidR="006C4E74" w:rsidTr="00547291">
        <w:tc>
          <w:tcPr>
            <w:tcW w:w="3632" w:type="dxa"/>
          </w:tcPr>
          <w:p w:rsidR="006C4E74" w:rsidRDefault="006C4E74" w:rsidP="00547291">
            <w:pPr>
              <w:tabs>
                <w:tab w:val="left" w:pos="1701"/>
                <w:tab w:val="left" w:pos="1985"/>
              </w:tabs>
            </w:pPr>
            <w:r>
              <w:t>Temperatur in ° C</w:t>
            </w:r>
          </w:p>
        </w:tc>
        <w:tc>
          <w:tcPr>
            <w:tcW w:w="3676" w:type="dxa"/>
          </w:tcPr>
          <w:p w:rsidR="006C4E74" w:rsidRDefault="006C4E74" w:rsidP="00547291">
            <w:pPr>
              <w:tabs>
                <w:tab w:val="left" w:pos="1701"/>
                <w:tab w:val="left" w:pos="1985"/>
              </w:tabs>
            </w:pPr>
            <w:r>
              <w:t>Reaktionszeit in Sekunden</w:t>
            </w:r>
          </w:p>
        </w:tc>
      </w:tr>
      <w:tr w:rsidR="006C4E74" w:rsidTr="00547291">
        <w:tc>
          <w:tcPr>
            <w:tcW w:w="3632" w:type="dxa"/>
          </w:tcPr>
          <w:p w:rsidR="006C4E74" w:rsidRDefault="006C4E74" w:rsidP="00547291">
            <w:pPr>
              <w:tabs>
                <w:tab w:val="left" w:pos="1701"/>
                <w:tab w:val="left" w:pos="1985"/>
              </w:tabs>
            </w:pPr>
            <w:r>
              <w:t>12</w:t>
            </w:r>
          </w:p>
        </w:tc>
        <w:tc>
          <w:tcPr>
            <w:tcW w:w="3676" w:type="dxa"/>
          </w:tcPr>
          <w:p w:rsidR="006C4E74" w:rsidRDefault="006C4E74" w:rsidP="00547291">
            <w:pPr>
              <w:tabs>
                <w:tab w:val="left" w:pos="1701"/>
                <w:tab w:val="left" w:pos="1985"/>
              </w:tabs>
            </w:pPr>
            <w:r>
              <w:t>15,3</w:t>
            </w:r>
          </w:p>
        </w:tc>
      </w:tr>
      <w:tr w:rsidR="006C4E74" w:rsidTr="00547291">
        <w:tc>
          <w:tcPr>
            <w:tcW w:w="3632" w:type="dxa"/>
          </w:tcPr>
          <w:p w:rsidR="006C4E74" w:rsidRDefault="006C4E74" w:rsidP="00547291">
            <w:pPr>
              <w:tabs>
                <w:tab w:val="left" w:pos="1701"/>
                <w:tab w:val="left" w:pos="1985"/>
              </w:tabs>
            </w:pPr>
            <w:r>
              <w:t>27</w:t>
            </w:r>
          </w:p>
        </w:tc>
        <w:tc>
          <w:tcPr>
            <w:tcW w:w="3676" w:type="dxa"/>
          </w:tcPr>
          <w:p w:rsidR="006C4E74" w:rsidRDefault="006C4E74" w:rsidP="00547291">
            <w:pPr>
              <w:tabs>
                <w:tab w:val="left" w:pos="1701"/>
                <w:tab w:val="left" w:pos="1985"/>
              </w:tabs>
            </w:pPr>
            <w:r>
              <w:t>7,2</w:t>
            </w:r>
          </w:p>
        </w:tc>
      </w:tr>
      <w:tr w:rsidR="006C4E74" w:rsidTr="00547291">
        <w:tc>
          <w:tcPr>
            <w:tcW w:w="3632" w:type="dxa"/>
          </w:tcPr>
          <w:p w:rsidR="006C4E74" w:rsidRDefault="006C4E74" w:rsidP="00547291">
            <w:pPr>
              <w:tabs>
                <w:tab w:val="left" w:pos="1701"/>
                <w:tab w:val="left" w:pos="1985"/>
              </w:tabs>
            </w:pPr>
            <w:r>
              <w:t>37</w:t>
            </w:r>
          </w:p>
        </w:tc>
        <w:tc>
          <w:tcPr>
            <w:tcW w:w="3676" w:type="dxa"/>
          </w:tcPr>
          <w:p w:rsidR="006C4E74" w:rsidRDefault="006C4E74" w:rsidP="00547291">
            <w:pPr>
              <w:tabs>
                <w:tab w:val="left" w:pos="1701"/>
                <w:tab w:val="left" w:pos="1985"/>
              </w:tabs>
            </w:pPr>
            <w:r>
              <w:t>4,9</w:t>
            </w:r>
          </w:p>
        </w:tc>
      </w:tr>
      <w:tr w:rsidR="006C4E74" w:rsidTr="00547291">
        <w:tc>
          <w:tcPr>
            <w:tcW w:w="3632" w:type="dxa"/>
          </w:tcPr>
          <w:p w:rsidR="006C4E74" w:rsidRDefault="006C4E74" w:rsidP="00547291">
            <w:pPr>
              <w:tabs>
                <w:tab w:val="left" w:pos="1701"/>
                <w:tab w:val="left" w:pos="1985"/>
              </w:tabs>
            </w:pPr>
            <w:r>
              <w:t>49</w:t>
            </w:r>
          </w:p>
        </w:tc>
        <w:tc>
          <w:tcPr>
            <w:tcW w:w="3676" w:type="dxa"/>
          </w:tcPr>
          <w:p w:rsidR="006C4E74" w:rsidRDefault="006C4E74" w:rsidP="00547291">
            <w:pPr>
              <w:tabs>
                <w:tab w:val="left" w:pos="1701"/>
                <w:tab w:val="left" w:pos="1985"/>
              </w:tabs>
            </w:pPr>
            <w:r>
              <w:t xml:space="preserve">3,2 (Zugabe von </w:t>
            </w:r>
            <w:proofErr w:type="spellStart"/>
            <w:r>
              <w:t>HCl</w:t>
            </w:r>
            <w:proofErr w:type="spellEnd"/>
            <w:r>
              <w:t xml:space="preserve"> nicht komplett) </w:t>
            </w:r>
          </w:p>
        </w:tc>
      </w:tr>
    </w:tbl>
    <w:p w:rsidR="006C4E74" w:rsidRPr="00196997" w:rsidRDefault="006C4E74" w:rsidP="006C4E74">
      <w:pPr>
        <w:tabs>
          <w:tab w:val="left" w:pos="1701"/>
          <w:tab w:val="left" w:pos="1985"/>
        </w:tabs>
        <w:ind w:left="1980" w:hanging="1980"/>
        <w:rPr>
          <w:sz w:val="18"/>
          <w:szCs w:val="18"/>
        </w:rPr>
      </w:pPr>
      <w:r>
        <w:tab/>
      </w:r>
      <w:r>
        <w:tab/>
      </w:r>
      <w:r w:rsidRPr="00196997">
        <w:rPr>
          <w:sz w:val="18"/>
          <w:szCs w:val="18"/>
        </w:rPr>
        <w:t>Tabelle 3.1 – Für den Farbumschlag benötigte Reaktionszeit in Abhängigkeit von der Te</w:t>
      </w:r>
      <w:r w:rsidRPr="00196997">
        <w:rPr>
          <w:sz w:val="18"/>
          <w:szCs w:val="18"/>
        </w:rPr>
        <w:t>m</w:t>
      </w:r>
      <w:r w:rsidRPr="00196997">
        <w:rPr>
          <w:sz w:val="18"/>
          <w:szCs w:val="18"/>
        </w:rPr>
        <w:t>peratur</w:t>
      </w:r>
    </w:p>
    <w:p w:rsidR="006C4E74" w:rsidRDefault="006C4E74" w:rsidP="006C4E74">
      <w:pPr>
        <w:keepNext/>
        <w:tabs>
          <w:tab w:val="left" w:pos="1701"/>
          <w:tab w:val="left" w:pos="1985"/>
        </w:tabs>
        <w:ind w:left="1980" w:hanging="1980"/>
        <w:jc w:val="center"/>
      </w:pPr>
      <w:r>
        <w:rPr>
          <w:noProof/>
          <w:lang w:eastAsia="de-DE"/>
        </w:rPr>
        <w:drawing>
          <wp:inline distT="0" distB="0" distL="0" distR="0">
            <wp:extent cx="1762125" cy="2031445"/>
            <wp:effectExtent l="19050" t="0" r="9525" b="0"/>
            <wp:docPr id="5" name="Bild 4" descr="C:\Dokumente und Einstellungen\Paula\Desktop\Eigene Dateien\uni\master\2. Semester\SVP\Fotos 11 &amp; 12\20130806_17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kumente und Einstellungen\Paula\Desktop\Eigene Dateien\uni\master\2. Semester\SVP\Fotos 11 &amp; 12\20130806_170047.jpg"/>
                    <pic:cNvPicPr>
                      <a:picLocks noChangeAspect="1" noChangeArrowheads="1"/>
                    </pic:cNvPicPr>
                  </pic:nvPicPr>
                  <pic:blipFill>
                    <a:blip r:embed="rId14" cstate="print"/>
                    <a:srcRect l="28595" t="22907" r="33554" b="18943"/>
                    <a:stretch>
                      <a:fillRect/>
                    </a:stretch>
                  </pic:blipFill>
                  <pic:spPr bwMode="auto">
                    <a:xfrm>
                      <a:off x="0" y="0"/>
                      <a:ext cx="1762125" cy="2031445"/>
                    </a:xfrm>
                    <a:prstGeom prst="rect">
                      <a:avLst/>
                    </a:prstGeom>
                    <a:noFill/>
                    <a:ln w="9525">
                      <a:noFill/>
                      <a:miter lim="800000"/>
                      <a:headEnd/>
                      <a:tailEnd/>
                    </a:ln>
                  </pic:spPr>
                </pic:pic>
              </a:graphicData>
            </a:graphic>
          </wp:inline>
        </w:drawing>
      </w:r>
      <w:r>
        <w:rPr>
          <w:noProof/>
          <w:lang w:eastAsia="de-DE"/>
        </w:rPr>
        <w:drawing>
          <wp:inline distT="0" distB="0" distL="0" distR="0">
            <wp:extent cx="2136869" cy="2028825"/>
            <wp:effectExtent l="19050" t="0" r="0" b="0"/>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l="23809" t="15678" r="19577" b="12712"/>
                    <a:stretch>
                      <a:fillRect/>
                    </a:stretch>
                  </pic:blipFill>
                  <pic:spPr bwMode="auto">
                    <a:xfrm>
                      <a:off x="0" y="0"/>
                      <a:ext cx="2136869" cy="2028825"/>
                    </a:xfrm>
                    <a:prstGeom prst="rect">
                      <a:avLst/>
                    </a:prstGeom>
                    <a:noFill/>
                    <a:ln w="9525">
                      <a:noFill/>
                      <a:miter lim="800000"/>
                      <a:headEnd/>
                      <a:tailEnd/>
                    </a:ln>
                  </pic:spPr>
                </pic:pic>
              </a:graphicData>
            </a:graphic>
          </wp:inline>
        </w:drawing>
      </w:r>
    </w:p>
    <w:p w:rsidR="006C4E74" w:rsidRDefault="006C4E74" w:rsidP="006C4E74">
      <w:pPr>
        <w:pStyle w:val="Beschriftung"/>
        <w:jc w:val="center"/>
      </w:pPr>
      <w:r>
        <w:t xml:space="preserve">Abb. </w:t>
      </w:r>
      <w:fldSimple w:instr=" SEQ Abb. \* ARABIC ">
        <w:r>
          <w:rPr>
            <w:noProof/>
          </w:rPr>
          <w:t>3</w:t>
        </w:r>
      </w:fldSimple>
      <w:r>
        <w:t xml:space="preserve"> – Lösung vor der Verfärbung</w:t>
      </w:r>
      <w:r>
        <w:tab/>
        <w:t>Abb. 2 – Lösung nach der Verfärbung</w:t>
      </w:r>
    </w:p>
    <w:p w:rsidR="006C4E74" w:rsidRDefault="006C4E74" w:rsidP="006C4E74">
      <w:pPr>
        <w:tabs>
          <w:tab w:val="left" w:pos="1701"/>
          <w:tab w:val="left" w:pos="1985"/>
        </w:tabs>
        <w:ind w:left="1980" w:hanging="1980"/>
      </w:pPr>
      <w:r>
        <w:t>Deutung:</w:t>
      </w:r>
      <w:r>
        <w:tab/>
      </w:r>
      <w:r>
        <w:tab/>
      </w:r>
      <w:r>
        <w:tab/>
        <w:t xml:space="preserve">Bei der Reaktion von </w:t>
      </w:r>
      <w:proofErr w:type="spellStart"/>
      <w:r>
        <w:t>Natriumthiosulfat</w:t>
      </w:r>
      <w:proofErr w:type="spellEnd"/>
      <w:r>
        <w:t xml:space="preserve"> mit Salzsäure entsteht elementarer Schwefel. Dieser fällt aus und ist für die gelbe Trübung der Reaktion ve</w:t>
      </w:r>
      <w:r>
        <w:t>r</w:t>
      </w:r>
      <w:r>
        <w:t xml:space="preserve">antwortlich. </w:t>
      </w:r>
    </w:p>
    <w:p w:rsidR="006C4E74" w:rsidRDefault="006C4E74" w:rsidP="006C4E74">
      <w:pPr>
        <w:tabs>
          <w:tab w:val="left" w:pos="1701"/>
          <w:tab w:val="left" w:pos="1985"/>
        </w:tabs>
        <w:ind w:left="1980" w:hanging="1980"/>
        <w:rPr>
          <w:rFonts w:ascii="Lucida Sans Unicode" w:hAnsi="Lucida Sans Unicode" w:cs="Lucida Sans Unicode"/>
        </w:rPr>
      </w:pPr>
      <w:r>
        <w:tab/>
      </w:r>
      <w:r>
        <w:tab/>
        <w:t>2 Na</w:t>
      </w:r>
      <w:r w:rsidRPr="006B0072">
        <w:rPr>
          <w:position w:val="4"/>
          <w:vertAlign w:val="superscript"/>
        </w:rPr>
        <w:t>+</w:t>
      </w:r>
      <w:r>
        <w:rPr>
          <w:vertAlign w:val="subscript"/>
        </w:rPr>
        <w:t>(</w:t>
      </w:r>
      <w:proofErr w:type="spellStart"/>
      <w:r>
        <w:rPr>
          <w:vertAlign w:val="subscript"/>
        </w:rPr>
        <w:t>aq</w:t>
      </w:r>
      <w:proofErr w:type="spellEnd"/>
      <w:r>
        <w:rPr>
          <w:vertAlign w:val="subscript"/>
        </w:rPr>
        <w:t>)</w:t>
      </w:r>
      <w:r>
        <w:t xml:space="preserve"> S</w:t>
      </w:r>
      <w:r>
        <w:rPr>
          <w:vertAlign w:val="subscript"/>
        </w:rPr>
        <w:t>2</w:t>
      </w:r>
      <w:r>
        <w:t>O</w:t>
      </w:r>
      <w:r>
        <w:rPr>
          <w:vertAlign w:val="subscript"/>
        </w:rPr>
        <w:t>3</w:t>
      </w:r>
      <w:r w:rsidRPr="006B0072">
        <w:rPr>
          <w:position w:val="4"/>
          <w:vertAlign w:val="superscript"/>
        </w:rPr>
        <w:t>2-</w:t>
      </w:r>
      <w:r>
        <w:t xml:space="preserve"> </w:t>
      </w:r>
      <w:r>
        <w:rPr>
          <w:vertAlign w:val="subscript"/>
        </w:rPr>
        <w:t>(</w:t>
      </w:r>
      <w:proofErr w:type="spellStart"/>
      <w:r>
        <w:rPr>
          <w:vertAlign w:val="subscript"/>
        </w:rPr>
        <w:t>aq</w:t>
      </w:r>
      <w:proofErr w:type="spellEnd"/>
      <w:r>
        <w:rPr>
          <w:vertAlign w:val="subscript"/>
        </w:rPr>
        <w:t>)</w:t>
      </w:r>
      <w:r>
        <w:t xml:space="preserve"> + 2 H</w:t>
      </w:r>
      <w:r w:rsidRPr="006B0072">
        <w:rPr>
          <w:position w:val="4"/>
          <w:vertAlign w:val="superscript"/>
        </w:rPr>
        <w:t>+</w:t>
      </w:r>
      <w:r>
        <w:t xml:space="preserve"> + 2 Cl</w:t>
      </w:r>
      <w:r w:rsidRPr="006B0072">
        <w:rPr>
          <w:position w:val="4"/>
          <w:vertAlign w:val="superscript"/>
        </w:rPr>
        <w:t>-</w:t>
      </w:r>
      <w:r>
        <w:t xml:space="preserve"> </w:t>
      </w:r>
      <w:r>
        <w:rPr>
          <w:vertAlign w:val="subscript"/>
        </w:rPr>
        <w:t>(</w:t>
      </w:r>
      <w:proofErr w:type="spellStart"/>
      <w:r>
        <w:rPr>
          <w:vertAlign w:val="subscript"/>
        </w:rPr>
        <w:t>aq</w:t>
      </w:r>
      <w:proofErr w:type="spellEnd"/>
      <w:r>
        <w:rPr>
          <w:vertAlign w:val="subscript"/>
        </w:rPr>
        <w:t>)</w:t>
      </w:r>
      <w:r>
        <w:t xml:space="preserve"> </w:t>
      </w:r>
      <w:r>
        <w:rPr>
          <w:rFonts w:ascii="Lucida Sans Unicode" w:hAnsi="Lucida Sans Unicode" w:cs="Lucida Sans Unicode"/>
        </w:rPr>
        <w:t>→</w:t>
      </w:r>
      <w:r>
        <w:t>SO</w:t>
      </w:r>
      <w:r>
        <w:rPr>
          <w:vertAlign w:val="subscript"/>
        </w:rPr>
        <w:t>2</w:t>
      </w:r>
      <w:r>
        <w:t xml:space="preserve"> </w:t>
      </w:r>
      <w:r>
        <w:rPr>
          <w:vertAlign w:val="subscript"/>
        </w:rPr>
        <w:t>(g)</w:t>
      </w:r>
      <w:r>
        <w:t xml:space="preserve"> + H</w:t>
      </w:r>
      <w:r>
        <w:rPr>
          <w:vertAlign w:val="subscript"/>
        </w:rPr>
        <w:t>2</w:t>
      </w:r>
      <w:r>
        <w:t>O</w:t>
      </w:r>
      <w:r>
        <w:rPr>
          <w:vertAlign w:val="subscript"/>
        </w:rPr>
        <w:t>(l)</w:t>
      </w:r>
      <w:r>
        <w:t xml:space="preserve"> + 2 Na</w:t>
      </w:r>
      <w:r w:rsidRPr="006B0072">
        <w:rPr>
          <w:position w:val="4"/>
          <w:vertAlign w:val="superscript"/>
        </w:rPr>
        <w:t>+</w:t>
      </w:r>
      <w:r>
        <w:t xml:space="preserve"> + 2 Cl</w:t>
      </w:r>
      <w:r w:rsidRPr="006B0072">
        <w:rPr>
          <w:position w:val="4"/>
          <w:vertAlign w:val="superscript"/>
        </w:rPr>
        <w:t>-</w:t>
      </w:r>
      <w:r>
        <w:t xml:space="preserve"> </w:t>
      </w:r>
      <w:r>
        <w:rPr>
          <w:vertAlign w:val="subscript"/>
        </w:rPr>
        <w:t>(</w:t>
      </w:r>
      <w:proofErr w:type="spellStart"/>
      <w:r>
        <w:rPr>
          <w:vertAlign w:val="subscript"/>
        </w:rPr>
        <w:t>aq</w:t>
      </w:r>
      <w:proofErr w:type="spellEnd"/>
      <w:r>
        <w:rPr>
          <w:vertAlign w:val="subscript"/>
        </w:rPr>
        <w:t>)</w:t>
      </w:r>
      <w:r>
        <w:t xml:space="preserve"> + S</w:t>
      </w:r>
      <w:r>
        <w:rPr>
          <w:vertAlign w:val="subscript"/>
        </w:rPr>
        <w:t>(s)</w:t>
      </w:r>
      <w:r>
        <w:rPr>
          <w:rFonts w:ascii="Lucida Sans Unicode" w:hAnsi="Lucida Sans Unicode" w:cs="Lucida Sans Unicode"/>
        </w:rPr>
        <w:t>↓</w:t>
      </w:r>
    </w:p>
    <w:p w:rsidR="006C4E74" w:rsidRDefault="006C4E74" w:rsidP="006C4E74">
      <w:pPr>
        <w:tabs>
          <w:tab w:val="left" w:pos="1701"/>
          <w:tab w:val="left" w:pos="1985"/>
        </w:tabs>
        <w:ind w:left="1980" w:hanging="1980"/>
        <w:rPr>
          <w:rFonts w:asciiTheme="majorHAnsi" w:hAnsiTheme="majorHAnsi" w:cs="Lucida Sans Unicode"/>
        </w:rPr>
      </w:pPr>
      <w:r>
        <w:rPr>
          <w:rFonts w:ascii="Lucida Sans Unicode" w:hAnsi="Lucida Sans Unicode" w:cs="Lucida Sans Unicode"/>
        </w:rPr>
        <w:tab/>
      </w:r>
      <w:r>
        <w:rPr>
          <w:rFonts w:ascii="Lucida Sans Unicode" w:hAnsi="Lucida Sans Unicode" w:cs="Lucida Sans Unicode"/>
        </w:rPr>
        <w:tab/>
      </w:r>
      <w:r w:rsidRPr="00BD0626">
        <w:rPr>
          <w:rFonts w:asciiTheme="majorHAnsi" w:hAnsiTheme="majorHAnsi" w:cs="Lucida Sans Unicode"/>
        </w:rPr>
        <w:t xml:space="preserve">Da die Reaktionsgeschwindigkeit </w:t>
      </w:r>
      <w:r>
        <w:rPr>
          <w:rFonts w:asciiTheme="majorHAnsi" w:hAnsiTheme="majorHAnsi" w:cs="Lucida Sans Unicode"/>
        </w:rPr>
        <w:t>unmittelbar von der Menge der Zusa</w:t>
      </w:r>
      <w:r>
        <w:rPr>
          <w:rFonts w:asciiTheme="majorHAnsi" w:hAnsiTheme="majorHAnsi" w:cs="Lucida Sans Unicode"/>
        </w:rPr>
        <w:t>m</w:t>
      </w:r>
      <w:r>
        <w:rPr>
          <w:rFonts w:asciiTheme="majorHAnsi" w:hAnsiTheme="majorHAnsi" w:cs="Lucida Sans Unicode"/>
        </w:rPr>
        <w:t>menstöße von hinreichend energetischen Reaktionspartnern abhängt, ist sie auch direkt von der Temperatur abhängig. Somit gilt, je höher die Te</w:t>
      </w:r>
      <w:r>
        <w:rPr>
          <w:rFonts w:asciiTheme="majorHAnsi" w:hAnsiTheme="majorHAnsi" w:cs="Lucida Sans Unicode"/>
        </w:rPr>
        <w:t>m</w:t>
      </w:r>
      <w:r>
        <w:rPr>
          <w:rFonts w:asciiTheme="majorHAnsi" w:hAnsiTheme="majorHAnsi" w:cs="Lucida Sans Unicode"/>
        </w:rPr>
        <w:t>peratur, desto höher ist die Reaktionsgeschwindigkeit.</w:t>
      </w:r>
    </w:p>
    <w:p w:rsidR="006C4E74" w:rsidRDefault="006C4E74" w:rsidP="006C4E74">
      <w:pPr>
        <w:tabs>
          <w:tab w:val="left" w:pos="1701"/>
          <w:tab w:val="left" w:pos="1985"/>
        </w:tabs>
        <w:ind w:left="1980" w:hanging="1980"/>
        <w:rPr>
          <w:rFonts w:asciiTheme="majorHAnsi" w:hAnsiTheme="majorHAnsi" w:cs="Lucida Sans Unicode"/>
        </w:rPr>
      </w:pPr>
      <w:r>
        <w:rPr>
          <w:rFonts w:asciiTheme="majorHAnsi" w:hAnsiTheme="majorHAnsi" w:cs="Lucida Sans Unicode"/>
        </w:rPr>
        <w:tab/>
      </w:r>
      <w:r>
        <w:rPr>
          <w:rFonts w:asciiTheme="majorHAnsi" w:hAnsiTheme="majorHAnsi" w:cs="Lucida Sans Unicode"/>
        </w:rPr>
        <w:tab/>
        <w:t xml:space="preserve">Die Ergebnisse zeigen, dass sich bei einer Temperaturerhöhung der Lösung um 10° C die Reaktionsgeschwindigkeit verdoppelt. Dass dies bei höheren Temperaturen nicht mehr stimmt liegt vor allem an </w:t>
      </w:r>
      <w:proofErr w:type="spellStart"/>
      <w:r>
        <w:rPr>
          <w:rFonts w:asciiTheme="majorHAnsi" w:hAnsiTheme="majorHAnsi" w:cs="Lucida Sans Unicode"/>
        </w:rPr>
        <w:t>Messfehlern</w:t>
      </w:r>
      <w:proofErr w:type="spellEnd"/>
      <w:r>
        <w:rPr>
          <w:rFonts w:asciiTheme="majorHAnsi" w:hAnsiTheme="majorHAnsi" w:cs="Lucida Sans Unicode"/>
        </w:rPr>
        <w:t xml:space="preserve">. Zum </w:t>
      </w:r>
      <w:r>
        <w:rPr>
          <w:rFonts w:asciiTheme="majorHAnsi" w:hAnsiTheme="majorHAnsi" w:cs="Lucida Sans Unicode"/>
        </w:rPr>
        <w:lastRenderedPageBreak/>
        <w:t>Beispiel konnte bei 49° C nicht alles Reagenz vor dem Farbumschlag hinzug</w:t>
      </w:r>
      <w:r>
        <w:rPr>
          <w:rFonts w:asciiTheme="majorHAnsi" w:hAnsiTheme="majorHAnsi" w:cs="Lucida Sans Unicode"/>
        </w:rPr>
        <w:t>e</w:t>
      </w:r>
      <w:r>
        <w:rPr>
          <w:rFonts w:asciiTheme="majorHAnsi" w:hAnsiTheme="majorHAnsi" w:cs="Lucida Sans Unicode"/>
        </w:rPr>
        <w:t>geben werden.</w:t>
      </w:r>
    </w:p>
    <w:p w:rsidR="006C4E74" w:rsidRPr="00BD0626" w:rsidRDefault="006C4E74" w:rsidP="006C4E74">
      <w:pPr>
        <w:tabs>
          <w:tab w:val="left" w:pos="1701"/>
          <w:tab w:val="left" w:pos="1985"/>
        </w:tabs>
        <w:ind w:left="1980" w:hanging="1980"/>
        <w:rPr>
          <w:rFonts w:asciiTheme="majorHAnsi" w:eastAsiaTheme="minorEastAsia" w:hAnsiTheme="majorHAnsi"/>
        </w:rPr>
      </w:pPr>
      <w:r>
        <w:rPr>
          <w:rFonts w:asciiTheme="majorHAnsi" w:hAnsiTheme="majorHAnsi" w:cs="Lucida Sans Unicode"/>
        </w:rPr>
        <w:t xml:space="preserve">Entsorgung: </w:t>
      </w:r>
      <w:r>
        <w:rPr>
          <w:rFonts w:asciiTheme="majorHAnsi" w:hAnsiTheme="majorHAnsi" w:cs="Lucida Sans Unicode"/>
        </w:rPr>
        <w:tab/>
      </w:r>
      <w:r>
        <w:rPr>
          <w:rFonts w:asciiTheme="majorHAnsi" w:hAnsiTheme="majorHAnsi" w:cs="Lucida Sans Unicode"/>
        </w:rPr>
        <w:tab/>
        <w:t xml:space="preserve">Abreagierte Lösungen können über das Wasser entsorgt werden. </w:t>
      </w:r>
    </w:p>
    <w:p w:rsidR="006C4E74" w:rsidRPr="005B60E3" w:rsidRDefault="006C4E74" w:rsidP="006C4E74">
      <w:pPr>
        <w:spacing w:line="276" w:lineRule="auto"/>
        <w:ind w:left="1980" w:hanging="1980"/>
        <w:jc w:val="left"/>
        <w:rPr>
          <w:rFonts w:asciiTheme="majorHAnsi" w:eastAsiaTheme="majorEastAsia" w:hAnsiTheme="majorHAnsi" w:cstheme="majorBidi"/>
          <w:b/>
          <w:bCs/>
          <w:sz w:val="28"/>
          <w:szCs w:val="28"/>
        </w:rPr>
      </w:pPr>
      <w:r>
        <w:t>Literatur:</w:t>
      </w:r>
      <w:r>
        <w:tab/>
        <w:t xml:space="preserve">W. </w:t>
      </w:r>
      <w:proofErr w:type="spellStart"/>
      <w:r>
        <w:t>Glöcker</w:t>
      </w:r>
      <w:proofErr w:type="spellEnd"/>
      <w:r>
        <w:t xml:space="preserve">, et al., Handbuch der experimentellen Chemie: </w:t>
      </w:r>
      <w:proofErr w:type="spellStart"/>
      <w:r>
        <w:t>Sekundarbereich</w:t>
      </w:r>
      <w:proofErr w:type="spellEnd"/>
      <w:r>
        <w:t xml:space="preserve"> II, Band 8- Kinetik, Katalyse, Gleichgewicht, </w:t>
      </w:r>
      <w:proofErr w:type="spellStart"/>
      <w:r>
        <w:t>Aulis</w:t>
      </w:r>
      <w:proofErr w:type="spellEnd"/>
      <w:r>
        <w:t xml:space="preserve"> Verlag, 2005, S. 88-90.</w:t>
      </w:r>
    </w:p>
    <w:p w:rsidR="006C4E74" w:rsidRPr="006E32AF" w:rsidRDefault="006C4E74" w:rsidP="006C4E74">
      <w:pPr>
        <w:tabs>
          <w:tab w:val="left" w:pos="1701"/>
          <w:tab w:val="left" w:pos="1985"/>
        </w:tabs>
        <w:ind w:left="1980" w:hanging="1980"/>
        <w:rPr>
          <w:rFonts w:eastAsiaTheme="minorEastAsia"/>
        </w:rPr>
      </w:pPr>
      <w:r w:rsidRPr="00512206">
        <w:pict>
          <v:shape id="_x0000_s1026" type="#_x0000_t202" style="width:462.45pt;height:128.4pt;mso-position-horizontal-relative:char;mso-position-vertical-relative:line;mso-width-relative:margin;mso-height-relative:margin" fillcolor="white [3201]" strokecolor="#c0504d [3205]" strokeweight="1pt">
            <v:stroke dashstyle="dash"/>
            <v:shadow color="#868686"/>
            <v:textbox style="mso-next-textbox:#_x0000_s1026">
              <w:txbxContent>
                <w:p w:rsidR="006C4E74" w:rsidRDefault="006C4E74" w:rsidP="006C4E74">
                  <w:pPr>
                    <w:rPr>
                      <w:color w:val="auto"/>
                    </w:rPr>
                  </w:pPr>
                  <w:r>
                    <w:rPr>
                      <w:color w:val="auto"/>
                    </w:rPr>
                    <w:t xml:space="preserve">Dieser Versuch eignet sich sehr gut, um die SuS die RGT-Regel selbst überprüfen lassen zu können. Diese können sie zuvor anhand von Versuch 3.2 erarbeitet haben. </w:t>
                  </w:r>
                </w:p>
                <w:p w:rsidR="006C4E74" w:rsidRPr="003C6BFE" w:rsidRDefault="006C4E74" w:rsidP="006C4E74">
                  <w:pPr>
                    <w:rPr>
                      <w:color w:val="auto"/>
                    </w:rPr>
                  </w:pPr>
                  <w:r>
                    <w:rPr>
                      <w:color w:val="auto"/>
                    </w:rPr>
                    <w:t>Da die Reaktion sehr schnell abläuft, können gerade bei hohen Temperaturen sehr schnell Messfehler auftreten, da die Reaktionszeiten sehr kurz sind. Deshalb empfiehlt es sich, wenn man bis zu 60° C messen will, die Lösungen mit destilliertem Wasser noch etwas stärker zu verdünnen, um die Konzentration der Ausgangsstoffe herunterzusetzen.</w:t>
                  </w:r>
                </w:p>
              </w:txbxContent>
            </v:textbox>
            <w10:wrap type="none"/>
            <w10:anchorlock/>
          </v:shape>
        </w:pict>
      </w:r>
    </w:p>
    <w:p w:rsidR="006A70ED" w:rsidRDefault="006A70ED"/>
    <w:sectPr w:rsidR="006A70ED" w:rsidSect="006A70E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C4E74"/>
    <w:rsid w:val="00191753"/>
    <w:rsid w:val="006A70ED"/>
    <w:rsid w:val="006C4E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4E7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C4E7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C4E7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C4E7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C4E7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C4E7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C4E7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C4E7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C4E7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C4E7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4E7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C4E7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C4E7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C4E7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C4E7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C4E7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C4E7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C4E7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C4E7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C4E74"/>
    <w:pPr>
      <w:spacing w:line="240" w:lineRule="auto"/>
    </w:pPr>
    <w:rPr>
      <w:bCs/>
      <w:color w:val="auto"/>
      <w:sz w:val="18"/>
      <w:szCs w:val="18"/>
    </w:rPr>
  </w:style>
  <w:style w:type="table" w:styleId="Tabellengitternetz">
    <w:name w:val="Table Grid"/>
    <w:basedOn w:val="NormaleTabelle"/>
    <w:uiPriority w:val="59"/>
    <w:rsid w:val="006C4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C4E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4E7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2476</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2013-08-13T16:52:00Z</dcterms:created>
  <dcterms:modified xsi:type="dcterms:W3CDTF">2013-08-13T16:52:00Z</dcterms:modified>
</cp:coreProperties>
</file>