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F4" w:rsidRDefault="000B77F4" w:rsidP="004E53D1">
      <w:pPr>
        <w:jc w:val="both"/>
        <w:rPr>
          <w:rFonts w:asciiTheme="majorHAnsi" w:hAnsiTheme="majorHAnsi"/>
          <w:b/>
          <w:bCs/>
        </w:rPr>
      </w:pPr>
      <w:bookmarkStart w:id="0" w:name="_Toc364088933"/>
      <w:r w:rsidRPr="004E53D1">
        <w:rPr>
          <w:rFonts w:asciiTheme="majorHAnsi" w:hAnsiTheme="majorHAnsi"/>
          <w:b/>
          <w:bCs/>
        </w:rPr>
        <w:t xml:space="preserve">V 1 – </w:t>
      </w:r>
      <w:proofErr w:type="spellStart"/>
      <w:r w:rsidRPr="004E53D1">
        <w:rPr>
          <w:rFonts w:asciiTheme="majorHAnsi" w:hAnsiTheme="majorHAnsi"/>
          <w:b/>
          <w:bCs/>
        </w:rPr>
        <w:t>Hydroxycarbonsäuren</w:t>
      </w:r>
      <w:proofErr w:type="spellEnd"/>
      <w:r w:rsidRPr="004E53D1">
        <w:rPr>
          <w:rFonts w:asciiTheme="majorHAnsi" w:hAnsiTheme="majorHAnsi"/>
          <w:b/>
          <w:bCs/>
        </w:rPr>
        <w:t xml:space="preserve"> in Lebensmitteln</w:t>
      </w:r>
      <w:bookmarkEnd w:id="0"/>
    </w:p>
    <w:p w:rsidR="004E53D1" w:rsidRPr="004E53D1" w:rsidRDefault="004E53D1" w:rsidP="004E53D1">
      <w:pPr>
        <w:jc w:val="both"/>
        <w:rPr>
          <w:rFonts w:asciiTheme="majorHAnsi" w:hAnsiTheme="majorHAnsi"/>
          <w:b/>
          <w:bCs/>
        </w:rPr>
      </w:pPr>
    </w:p>
    <w:p w:rsidR="000B77F4" w:rsidRPr="004E53D1" w:rsidRDefault="00F4001C" w:rsidP="004E53D1">
      <w:pPr>
        <w:jc w:val="both"/>
        <w:rPr>
          <w:rFonts w:asciiTheme="majorHAnsi" w:hAnsiTheme="majorHAnsi"/>
        </w:rPr>
      </w:pPr>
      <w:r w:rsidRPr="004E53D1">
        <w:rPr>
          <w:rFonts w:asciiTheme="majorHAnsi" w:hAnsiTheme="majorHAnsi"/>
        </w:rPr>
        <w:pict>
          <v:shapetype id="_x0000_t202" coordsize="21600,21600" o:spt="202" path="m,l,21600r21600,l21600,xe">
            <v:stroke joinstyle="miter"/>
            <v:path gradientshapeok="t" o:connecttype="rect"/>
          </v:shapetype>
          <v:shape id="_x0000_s1032" type="#_x0000_t202" style="position:absolute;left:0;text-align:left;margin-left:-3.35pt;margin-top:2.95pt;width:462.45pt;height:82.25pt;z-index:251660288;mso-width-relative:margin;mso-height-relative:margin" fillcolor="white [3201]" strokecolor="#4bacc6 [3208]" strokeweight="1pt">
            <v:stroke dashstyle="dash"/>
            <v:shadow color="#868686"/>
            <v:textbox style="mso-next-textbox:#_x0000_s1032">
              <w:txbxContent>
                <w:p w:rsidR="000B77F4" w:rsidRPr="00DA64DE" w:rsidRDefault="000B77F4" w:rsidP="00DA64DE">
                  <w:pPr>
                    <w:jc w:val="both"/>
                    <w:rPr>
                      <w:rFonts w:asciiTheme="majorHAnsi" w:hAnsiTheme="majorHAnsi"/>
                    </w:rPr>
                  </w:pPr>
                  <w:r w:rsidRPr="00DA64DE">
                    <w:rPr>
                      <w:rFonts w:asciiTheme="majorHAnsi" w:hAnsiTheme="majorHAnsi"/>
                    </w:rPr>
                    <w:t xml:space="preserve">Durch diesen Versuch kann darauf geschlossen werden, dass verschiedene Lebensmittel Säuren enthalten und wie sich diese Säuren durch Zugabe verschiedener Substanzen verhalten. Dieser Versuch ist allerdings kein eindeutiger Nachweis für Carbonsäuren. Für die Deutung sollten die SuS mit der Säure-Base-Theorie nach </w:t>
                  </w:r>
                  <w:proofErr w:type="spellStart"/>
                  <w:r w:rsidRPr="00DA64DE">
                    <w:rPr>
                      <w:rFonts w:asciiTheme="majorHAnsi" w:hAnsiTheme="majorHAnsi"/>
                    </w:rPr>
                    <w:t>Brönsted</w:t>
                  </w:r>
                  <w:proofErr w:type="spellEnd"/>
                  <w:r w:rsidRPr="00DA64DE">
                    <w:rPr>
                      <w:rFonts w:asciiTheme="majorHAnsi" w:hAnsiTheme="majorHAnsi"/>
                    </w:rPr>
                    <w:t xml:space="preserve"> vertraut sein.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B77F4" w:rsidRPr="004E53D1" w:rsidTr="00AF3449">
        <w:tc>
          <w:tcPr>
            <w:tcW w:w="9322" w:type="dxa"/>
            <w:gridSpan w:val="9"/>
            <w:shd w:val="clear" w:color="auto" w:fill="4F81BD"/>
            <w:vAlign w:val="center"/>
          </w:tcPr>
          <w:p w:rsidR="000B77F4" w:rsidRPr="004E53D1" w:rsidRDefault="000B77F4" w:rsidP="004E53D1">
            <w:pPr>
              <w:jc w:val="both"/>
              <w:rPr>
                <w:rFonts w:asciiTheme="majorHAnsi" w:hAnsiTheme="majorHAnsi"/>
                <w:b/>
                <w:bCs/>
              </w:rPr>
            </w:pPr>
            <w:r w:rsidRPr="004E53D1">
              <w:rPr>
                <w:rFonts w:asciiTheme="majorHAnsi" w:hAnsiTheme="majorHAnsi"/>
                <w:b/>
                <w:bCs/>
              </w:rPr>
              <w:t>Gefahrenstoffe</w:t>
            </w:r>
          </w:p>
        </w:tc>
      </w:tr>
      <w:tr w:rsidR="000B77F4" w:rsidRPr="004E53D1" w:rsidTr="00AF344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B77F4" w:rsidRPr="004E53D1" w:rsidRDefault="000B77F4" w:rsidP="004E53D1">
            <w:pPr>
              <w:jc w:val="both"/>
              <w:rPr>
                <w:rFonts w:asciiTheme="majorHAnsi" w:hAnsiTheme="majorHAnsi"/>
                <w:b/>
                <w:bCs/>
              </w:rPr>
            </w:pPr>
            <w:r w:rsidRPr="004E53D1">
              <w:rPr>
                <w:rFonts w:asciiTheme="majorHAnsi" w:hAnsiTheme="majorHAnsi"/>
              </w:rPr>
              <w:t>Verdünnte Natronlauge</w:t>
            </w:r>
          </w:p>
        </w:tc>
        <w:tc>
          <w:tcPr>
            <w:tcW w:w="3177" w:type="dxa"/>
            <w:gridSpan w:val="3"/>
            <w:tcBorders>
              <w:top w:val="single" w:sz="8" w:space="0" w:color="4F81BD"/>
              <w:bottom w:val="single" w:sz="8" w:space="0" w:color="4F81BD"/>
            </w:tcBorders>
            <w:shd w:val="clear" w:color="auto" w:fill="auto"/>
            <w:vAlign w:val="center"/>
          </w:tcPr>
          <w:p w:rsidR="000B77F4" w:rsidRPr="004E53D1" w:rsidRDefault="000B77F4" w:rsidP="004E53D1">
            <w:pPr>
              <w:jc w:val="both"/>
              <w:rPr>
                <w:rFonts w:asciiTheme="majorHAnsi" w:hAnsiTheme="majorHAnsi"/>
              </w:rPr>
            </w:pPr>
            <w:r w:rsidRPr="004E53D1">
              <w:rPr>
                <w:rFonts w:asciiTheme="majorHAnsi" w:hAnsiTheme="majorHAnsi"/>
              </w:rPr>
              <w:t>H: 315,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B77F4" w:rsidRPr="004E53D1" w:rsidRDefault="000B77F4" w:rsidP="004E53D1">
            <w:pPr>
              <w:jc w:val="both"/>
              <w:rPr>
                <w:rFonts w:asciiTheme="majorHAnsi" w:hAnsiTheme="majorHAnsi"/>
              </w:rPr>
            </w:pPr>
            <w:r w:rsidRPr="004E53D1">
              <w:rPr>
                <w:rFonts w:asciiTheme="majorHAnsi" w:hAnsiTheme="majorHAnsi"/>
              </w:rPr>
              <w:t>P: 2280, 301+330+331, 305+351+338</w:t>
            </w:r>
          </w:p>
        </w:tc>
      </w:tr>
      <w:tr w:rsidR="000B77F4" w:rsidRPr="004E53D1" w:rsidTr="00AF3449">
        <w:tc>
          <w:tcPr>
            <w:tcW w:w="1009" w:type="dxa"/>
            <w:tcBorders>
              <w:top w:val="single" w:sz="8" w:space="0" w:color="4F81BD"/>
              <w:left w:val="single" w:sz="8" w:space="0" w:color="4F81BD"/>
              <w:bottom w:val="single" w:sz="8" w:space="0" w:color="4F81BD"/>
            </w:tcBorders>
            <w:shd w:val="clear" w:color="auto" w:fill="auto"/>
            <w:vAlign w:val="center"/>
          </w:tcPr>
          <w:p w:rsidR="000B77F4" w:rsidRPr="004E53D1" w:rsidRDefault="000B77F4" w:rsidP="004E53D1">
            <w:pPr>
              <w:jc w:val="both"/>
              <w:rPr>
                <w:rFonts w:asciiTheme="majorHAnsi" w:hAnsiTheme="majorHAnsi"/>
                <w:b/>
                <w:bCs/>
              </w:rPr>
            </w:pPr>
            <w:r w:rsidRPr="004E53D1">
              <w:rPr>
                <w:rFonts w:asciiTheme="majorHAnsi" w:hAnsiTheme="majorHAnsi"/>
                <w:b/>
                <w:noProof/>
                <w:lang w:eastAsia="de-DE"/>
              </w:rPr>
              <w:drawing>
                <wp:inline distT="0" distB="0" distL="0" distR="0">
                  <wp:extent cx="538061" cy="540000"/>
                  <wp:effectExtent l="0" t="0" r="0" b="0"/>
                  <wp:docPr id="1"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7" cstate="print">
                            <a:duotone>
                              <a:schemeClr val="bg2">
                                <a:shade val="45000"/>
                                <a:satMod val="135000"/>
                              </a:schemeClr>
                              <a:prstClr val="white"/>
                            </a:duotone>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B77F4" w:rsidRPr="004E53D1" w:rsidRDefault="000B77F4" w:rsidP="004E53D1">
            <w:pPr>
              <w:jc w:val="both"/>
              <w:rPr>
                <w:rFonts w:asciiTheme="majorHAnsi" w:hAnsiTheme="majorHAnsi"/>
              </w:rPr>
            </w:pPr>
            <w:r w:rsidRPr="004E53D1">
              <w:rPr>
                <w:rFonts w:asciiTheme="majorHAnsi" w:hAnsiTheme="majorHAnsi"/>
                <w:noProof/>
                <w:lang w:eastAsia="de-DE"/>
              </w:rPr>
              <w:drawing>
                <wp:inline distT="0" distB="0" distL="0" distR="0">
                  <wp:extent cx="538321" cy="540000"/>
                  <wp:effectExtent l="0" t="0" r="0" b="0"/>
                  <wp:docPr id="2"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8"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B77F4" w:rsidRPr="004E53D1" w:rsidRDefault="000B77F4" w:rsidP="004E53D1">
            <w:pPr>
              <w:jc w:val="both"/>
              <w:rPr>
                <w:rFonts w:asciiTheme="majorHAnsi" w:hAnsiTheme="majorHAnsi"/>
              </w:rPr>
            </w:pPr>
            <w:r w:rsidRPr="004E53D1">
              <w:rPr>
                <w:rFonts w:asciiTheme="majorHAnsi" w:hAnsiTheme="majorHAnsi"/>
                <w:noProof/>
                <w:lang w:eastAsia="de-DE"/>
              </w:rPr>
              <w:drawing>
                <wp:inline distT="0" distB="0" distL="0" distR="0">
                  <wp:extent cx="540000" cy="551986"/>
                  <wp:effectExtent l="19050" t="0" r="0" b="0"/>
                  <wp:docPr id="3"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9" cstate="print">
                            <a:duotone>
                              <a:schemeClr val="bg2">
                                <a:shade val="45000"/>
                                <a:satMod val="135000"/>
                              </a:schemeClr>
                              <a:prstClr val="white"/>
                            </a:duotone>
                          </a:blip>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B77F4" w:rsidRPr="004E53D1" w:rsidRDefault="000B77F4" w:rsidP="004E53D1">
            <w:pPr>
              <w:jc w:val="both"/>
              <w:rPr>
                <w:rFonts w:asciiTheme="majorHAnsi" w:hAnsiTheme="majorHAnsi"/>
              </w:rPr>
            </w:pPr>
            <w:r w:rsidRPr="004E53D1">
              <w:rPr>
                <w:rFonts w:asciiTheme="majorHAnsi" w:hAnsiTheme="majorHAnsi"/>
                <w:noProof/>
                <w:lang w:eastAsia="de-DE"/>
              </w:rPr>
              <w:drawing>
                <wp:inline distT="0" distB="0" distL="0" distR="0">
                  <wp:extent cx="538320" cy="540000"/>
                  <wp:effectExtent l="0" t="0" r="0" b="0"/>
                  <wp:docPr id="4"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0" cstate="print">
                            <a:duotone>
                              <a:schemeClr val="bg2">
                                <a:shade val="45000"/>
                                <a:satMod val="135000"/>
                              </a:schemeClr>
                              <a:prstClr val="white"/>
                            </a:duotone>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B77F4" w:rsidRPr="004E53D1" w:rsidRDefault="000B77F4" w:rsidP="004E53D1">
            <w:pPr>
              <w:jc w:val="both"/>
              <w:rPr>
                <w:rFonts w:asciiTheme="majorHAnsi" w:hAnsiTheme="majorHAnsi"/>
              </w:rPr>
            </w:pPr>
            <w:r w:rsidRPr="004E53D1">
              <w:rPr>
                <w:rFonts w:asciiTheme="majorHAnsi" w:hAnsiTheme="majorHAnsi"/>
                <w:noProof/>
                <w:lang w:eastAsia="de-DE"/>
              </w:rPr>
              <w:drawing>
                <wp:inline distT="0" distB="0" distL="0" distR="0">
                  <wp:extent cx="538321" cy="540000"/>
                  <wp:effectExtent l="0" t="0" r="0" b="0"/>
                  <wp:docPr id="5"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1"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B77F4" w:rsidRPr="004E53D1" w:rsidRDefault="000B77F4" w:rsidP="004E53D1">
            <w:pPr>
              <w:jc w:val="both"/>
              <w:rPr>
                <w:rFonts w:asciiTheme="majorHAnsi" w:hAnsiTheme="majorHAnsi"/>
              </w:rPr>
            </w:pPr>
            <w:r w:rsidRPr="004E53D1">
              <w:rPr>
                <w:rFonts w:asciiTheme="majorHAnsi" w:hAnsiTheme="majorHAnsi"/>
                <w:noProof/>
                <w:lang w:eastAsia="de-DE"/>
              </w:rPr>
              <w:drawing>
                <wp:inline distT="0" distB="0" distL="0" distR="0">
                  <wp:extent cx="539491" cy="540000"/>
                  <wp:effectExtent l="0" t="0" r="0" b="0"/>
                  <wp:docPr id="6"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B77F4" w:rsidRPr="004E53D1" w:rsidRDefault="000B77F4" w:rsidP="004E53D1">
            <w:pPr>
              <w:jc w:val="both"/>
              <w:rPr>
                <w:rFonts w:asciiTheme="majorHAnsi" w:hAnsiTheme="majorHAnsi"/>
              </w:rPr>
            </w:pPr>
            <w:r w:rsidRPr="004E53D1">
              <w:rPr>
                <w:rFonts w:asciiTheme="majorHAnsi" w:hAnsiTheme="majorHAnsi"/>
                <w:noProof/>
                <w:lang w:eastAsia="de-DE"/>
              </w:rPr>
              <w:drawing>
                <wp:inline distT="0" distB="0" distL="0" distR="0">
                  <wp:extent cx="539491" cy="540000"/>
                  <wp:effectExtent l="0" t="0" r="0" b="0"/>
                  <wp:docPr id="7"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3"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B77F4" w:rsidRPr="004E53D1" w:rsidRDefault="000B77F4" w:rsidP="004E53D1">
            <w:pPr>
              <w:jc w:val="both"/>
              <w:rPr>
                <w:rFonts w:asciiTheme="majorHAnsi" w:hAnsiTheme="majorHAnsi"/>
              </w:rPr>
            </w:pPr>
            <w:r w:rsidRPr="004E53D1">
              <w:rPr>
                <w:rFonts w:asciiTheme="majorHAnsi" w:hAnsiTheme="majorHAnsi"/>
                <w:noProof/>
                <w:lang w:eastAsia="de-DE"/>
              </w:rPr>
              <w:drawing>
                <wp:inline distT="0" distB="0" distL="0" distR="0">
                  <wp:extent cx="539999" cy="540000"/>
                  <wp:effectExtent l="0" t="0" r="0" b="0"/>
                  <wp:docPr id="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B77F4" w:rsidRPr="004E53D1" w:rsidRDefault="000B77F4" w:rsidP="004E53D1">
            <w:pPr>
              <w:jc w:val="both"/>
              <w:rPr>
                <w:rFonts w:asciiTheme="majorHAnsi" w:hAnsiTheme="majorHAnsi"/>
              </w:rPr>
            </w:pPr>
            <w:r w:rsidRPr="004E53D1">
              <w:rPr>
                <w:rFonts w:asciiTheme="majorHAnsi" w:hAnsiTheme="majorHAnsi"/>
                <w:noProof/>
                <w:lang w:eastAsia="de-DE"/>
              </w:rPr>
              <w:drawing>
                <wp:inline distT="0" distB="0" distL="0" distR="0">
                  <wp:extent cx="539491" cy="540000"/>
                  <wp:effectExtent l="0" t="0" r="0" b="0"/>
                  <wp:docPr id="9"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15"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0B77F4" w:rsidRPr="004E53D1" w:rsidRDefault="000B77F4" w:rsidP="004E53D1">
      <w:pPr>
        <w:jc w:val="both"/>
        <w:rPr>
          <w:rFonts w:asciiTheme="majorHAnsi" w:hAnsiTheme="majorHAnsi"/>
        </w:rPr>
      </w:pPr>
    </w:p>
    <w:p w:rsidR="000B77F4" w:rsidRPr="004E53D1" w:rsidRDefault="000B77F4" w:rsidP="004E53D1">
      <w:pPr>
        <w:jc w:val="both"/>
        <w:rPr>
          <w:rFonts w:asciiTheme="majorHAnsi" w:hAnsiTheme="majorHAnsi"/>
        </w:rPr>
      </w:pPr>
      <w:r w:rsidRPr="004E53D1">
        <w:rPr>
          <w:rFonts w:asciiTheme="majorHAnsi" w:hAnsiTheme="majorHAnsi"/>
        </w:rPr>
        <w:t xml:space="preserve">Materialien: </w:t>
      </w:r>
      <w:r w:rsidRPr="004E53D1">
        <w:rPr>
          <w:rFonts w:asciiTheme="majorHAnsi" w:hAnsiTheme="majorHAnsi"/>
        </w:rPr>
        <w:tab/>
        <w:t>Zitronensaft, Essig, Weißwein, Joghurt, Indikatorpapier, Zucker</w:t>
      </w:r>
    </w:p>
    <w:p w:rsidR="000B77F4" w:rsidRPr="004E53D1" w:rsidRDefault="000B77F4" w:rsidP="004E53D1">
      <w:pPr>
        <w:jc w:val="both"/>
        <w:rPr>
          <w:rFonts w:asciiTheme="majorHAnsi" w:hAnsiTheme="majorHAnsi"/>
        </w:rPr>
      </w:pPr>
    </w:p>
    <w:p w:rsidR="000B77F4" w:rsidRPr="004E53D1" w:rsidRDefault="000B77F4" w:rsidP="004E53D1">
      <w:pPr>
        <w:jc w:val="both"/>
        <w:rPr>
          <w:rFonts w:asciiTheme="majorHAnsi" w:hAnsiTheme="majorHAnsi"/>
        </w:rPr>
      </w:pPr>
      <w:r w:rsidRPr="004E53D1">
        <w:rPr>
          <w:rFonts w:asciiTheme="majorHAnsi" w:hAnsiTheme="majorHAnsi"/>
        </w:rPr>
        <w:t>Chemikalien:</w:t>
      </w:r>
      <w:r w:rsidRPr="004E53D1">
        <w:rPr>
          <w:rFonts w:asciiTheme="majorHAnsi" w:hAnsiTheme="majorHAnsi"/>
        </w:rPr>
        <w:tab/>
        <w:t>Natronlauge</w:t>
      </w:r>
    </w:p>
    <w:p w:rsidR="000B77F4" w:rsidRPr="004E53D1" w:rsidRDefault="000B77F4" w:rsidP="004E53D1">
      <w:pPr>
        <w:jc w:val="both"/>
        <w:rPr>
          <w:rFonts w:asciiTheme="majorHAnsi" w:hAnsiTheme="majorHAnsi"/>
        </w:rPr>
      </w:pPr>
    </w:p>
    <w:p w:rsidR="000B77F4" w:rsidRPr="004E53D1" w:rsidRDefault="000B77F4" w:rsidP="004E53D1">
      <w:pPr>
        <w:jc w:val="both"/>
        <w:rPr>
          <w:rFonts w:asciiTheme="majorHAnsi" w:hAnsiTheme="majorHAnsi"/>
        </w:rPr>
      </w:pPr>
      <w:r w:rsidRPr="004E53D1">
        <w:rPr>
          <w:rFonts w:asciiTheme="majorHAnsi" w:hAnsiTheme="majorHAnsi"/>
        </w:rPr>
        <w:t>Durchführung:</w:t>
      </w:r>
      <w:r w:rsidRPr="004E53D1">
        <w:rPr>
          <w:rFonts w:asciiTheme="majorHAnsi" w:hAnsiTheme="majorHAnsi"/>
        </w:rPr>
        <w:tab/>
        <w:t>Dieser Versuch besteht aus mehreren Teilschritten:</w:t>
      </w:r>
    </w:p>
    <w:p w:rsidR="000B77F4" w:rsidRPr="004E53D1" w:rsidRDefault="000B77F4" w:rsidP="004E53D1">
      <w:pPr>
        <w:numPr>
          <w:ilvl w:val="0"/>
          <w:numId w:val="1"/>
        </w:numPr>
        <w:jc w:val="both"/>
        <w:rPr>
          <w:rFonts w:asciiTheme="majorHAnsi" w:hAnsiTheme="majorHAnsi"/>
        </w:rPr>
      </w:pPr>
      <w:r w:rsidRPr="004E53D1">
        <w:rPr>
          <w:rFonts w:asciiTheme="majorHAnsi" w:hAnsiTheme="majorHAnsi"/>
        </w:rPr>
        <w:t>Die Proben von Zitronensaft, Joghurt, Essig und Wein werden zu je 2 cm Höhe in ein Reagenzglas gefüllt und mit Universalindikator überprüft.</w:t>
      </w:r>
    </w:p>
    <w:p w:rsidR="000B77F4" w:rsidRPr="004E53D1" w:rsidRDefault="000B77F4" w:rsidP="004E53D1">
      <w:pPr>
        <w:numPr>
          <w:ilvl w:val="0"/>
          <w:numId w:val="1"/>
        </w:numPr>
        <w:jc w:val="both"/>
        <w:rPr>
          <w:rFonts w:asciiTheme="majorHAnsi" w:hAnsiTheme="majorHAnsi"/>
        </w:rPr>
      </w:pPr>
      <w:r w:rsidRPr="004E53D1">
        <w:rPr>
          <w:rFonts w:asciiTheme="majorHAnsi" w:hAnsiTheme="majorHAnsi"/>
        </w:rPr>
        <w:t>Zu jeder Probe wird ein Spatel Zucker gegeben und anschließend wieder mit Universalindikatorpapier überprüft.</w:t>
      </w:r>
    </w:p>
    <w:p w:rsidR="000B77F4" w:rsidRPr="004E53D1" w:rsidRDefault="000B77F4" w:rsidP="004E53D1">
      <w:pPr>
        <w:numPr>
          <w:ilvl w:val="0"/>
          <w:numId w:val="1"/>
        </w:numPr>
        <w:jc w:val="both"/>
        <w:rPr>
          <w:rFonts w:asciiTheme="majorHAnsi" w:hAnsiTheme="majorHAnsi"/>
        </w:rPr>
      </w:pPr>
      <w:r w:rsidRPr="004E53D1">
        <w:rPr>
          <w:rFonts w:asciiTheme="majorHAnsi" w:hAnsiTheme="majorHAnsi"/>
        </w:rPr>
        <w:t xml:space="preserve">Zu jeder Probe werden ca. 3 </w:t>
      </w:r>
      <w:proofErr w:type="spellStart"/>
      <w:r w:rsidRPr="004E53D1">
        <w:rPr>
          <w:rFonts w:asciiTheme="majorHAnsi" w:hAnsiTheme="majorHAnsi"/>
        </w:rPr>
        <w:t>mL</w:t>
      </w:r>
      <w:proofErr w:type="spellEnd"/>
      <w:r w:rsidRPr="004E53D1">
        <w:rPr>
          <w:rFonts w:asciiTheme="majorHAnsi" w:hAnsiTheme="majorHAnsi"/>
        </w:rPr>
        <w:t xml:space="preserve"> verdünnte Natronlauge hinzugefügt, bevor der pH-Wert mit Indikatorpapier überprüft wird.</w:t>
      </w:r>
    </w:p>
    <w:p w:rsidR="000B77F4" w:rsidRPr="004E53D1" w:rsidRDefault="000B77F4" w:rsidP="004E53D1">
      <w:pPr>
        <w:jc w:val="both"/>
        <w:rPr>
          <w:rFonts w:asciiTheme="majorHAnsi" w:hAnsiTheme="majorHAnsi"/>
        </w:rPr>
      </w:pPr>
    </w:p>
    <w:p w:rsidR="000B77F4" w:rsidRPr="004E53D1" w:rsidRDefault="000B77F4" w:rsidP="004E53D1">
      <w:pPr>
        <w:jc w:val="both"/>
        <w:rPr>
          <w:rFonts w:asciiTheme="majorHAnsi" w:hAnsiTheme="majorHAnsi"/>
        </w:rPr>
      </w:pPr>
      <w:r w:rsidRPr="004E53D1">
        <w:rPr>
          <w:rFonts w:asciiTheme="majorHAnsi" w:hAnsiTheme="majorHAnsi"/>
        </w:rPr>
        <w:t>Beobachtung:</w:t>
      </w:r>
      <w:r w:rsidRPr="004E53D1">
        <w:rPr>
          <w:rFonts w:asciiTheme="majorHAnsi" w:hAnsiTheme="majorHAnsi"/>
        </w:rPr>
        <w:tab/>
      </w:r>
    </w:p>
    <w:tbl>
      <w:tblPr>
        <w:tblStyle w:val="Tabellengitternetz"/>
        <w:tblW w:w="0" w:type="auto"/>
        <w:tblLook w:val="04A0"/>
      </w:tblPr>
      <w:tblGrid>
        <w:gridCol w:w="1842"/>
        <w:gridCol w:w="1842"/>
        <w:gridCol w:w="1842"/>
        <w:gridCol w:w="1843"/>
        <w:gridCol w:w="1843"/>
      </w:tblGrid>
      <w:tr w:rsidR="000B77F4" w:rsidRPr="004E53D1" w:rsidTr="00AF3449">
        <w:tc>
          <w:tcPr>
            <w:tcW w:w="1842" w:type="dxa"/>
          </w:tcPr>
          <w:p w:rsidR="000B77F4" w:rsidRPr="004E53D1" w:rsidRDefault="000B77F4" w:rsidP="004E53D1">
            <w:pPr>
              <w:jc w:val="both"/>
              <w:rPr>
                <w:rFonts w:asciiTheme="majorHAnsi" w:hAnsiTheme="majorHAnsi"/>
              </w:rPr>
            </w:pPr>
            <w:r w:rsidRPr="004E53D1">
              <w:rPr>
                <w:rFonts w:asciiTheme="majorHAnsi" w:hAnsiTheme="majorHAnsi"/>
              </w:rPr>
              <w:t>pH-Werte</w:t>
            </w:r>
          </w:p>
        </w:tc>
        <w:tc>
          <w:tcPr>
            <w:tcW w:w="1842" w:type="dxa"/>
          </w:tcPr>
          <w:p w:rsidR="000B77F4" w:rsidRPr="004E53D1" w:rsidRDefault="000B77F4" w:rsidP="004E53D1">
            <w:pPr>
              <w:jc w:val="both"/>
              <w:rPr>
                <w:rFonts w:asciiTheme="majorHAnsi" w:hAnsiTheme="majorHAnsi"/>
              </w:rPr>
            </w:pPr>
            <w:r w:rsidRPr="004E53D1">
              <w:rPr>
                <w:rFonts w:asciiTheme="majorHAnsi" w:hAnsiTheme="majorHAnsi"/>
              </w:rPr>
              <w:t>Zitronensaft</w:t>
            </w:r>
          </w:p>
        </w:tc>
        <w:tc>
          <w:tcPr>
            <w:tcW w:w="1842" w:type="dxa"/>
          </w:tcPr>
          <w:p w:rsidR="000B77F4" w:rsidRPr="004E53D1" w:rsidRDefault="000B77F4" w:rsidP="004E53D1">
            <w:pPr>
              <w:jc w:val="both"/>
              <w:rPr>
                <w:rFonts w:asciiTheme="majorHAnsi" w:hAnsiTheme="majorHAnsi"/>
              </w:rPr>
            </w:pPr>
            <w:r w:rsidRPr="004E53D1">
              <w:rPr>
                <w:rFonts w:asciiTheme="majorHAnsi" w:hAnsiTheme="majorHAnsi"/>
              </w:rPr>
              <w:t>Joghurt</w:t>
            </w:r>
          </w:p>
        </w:tc>
        <w:tc>
          <w:tcPr>
            <w:tcW w:w="1843" w:type="dxa"/>
          </w:tcPr>
          <w:p w:rsidR="000B77F4" w:rsidRPr="004E53D1" w:rsidRDefault="000B77F4" w:rsidP="004E53D1">
            <w:pPr>
              <w:jc w:val="both"/>
              <w:rPr>
                <w:rFonts w:asciiTheme="majorHAnsi" w:hAnsiTheme="majorHAnsi"/>
              </w:rPr>
            </w:pPr>
            <w:r w:rsidRPr="004E53D1">
              <w:rPr>
                <w:rFonts w:asciiTheme="majorHAnsi" w:hAnsiTheme="majorHAnsi"/>
              </w:rPr>
              <w:t>Essig</w:t>
            </w:r>
          </w:p>
        </w:tc>
        <w:tc>
          <w:tcPr>
            <w:tcW w:w="1843" w:type="dxa"/>
          </w:tcPr>
          <w:p w:rsidR="000B77F4" w:rsidRPr="004E53D1" w:rsidRDefault="000B77F4" w:rsidP="004E53D1">
            <w:pPr>
              <w:jc w:val="both"/>
              <w:rPr>
                <w:rFonts w:asciiTheme="majorHAnsi" w:hAnsiTheme="majorHAnsi"/>
              </w:rPr>
            </w:pPr>
            <w:r w:rsidRPr="004E53D1">
              <w:rPr>
                <w:rFonts w:asciiTheme="majorHAnsi" w:hAnsiTheme="majorHAnsi"/>
              </w:rPr>
              <w:t>Wein</w:t>
            </w:r>
          </w:p>
        </w:tc>
      </w:tr>
      <w:tr w:rsidR="000B77F4" w:rsidRPr="004E53D1" w:rsidTr="00AF3449">
        <w:tc>
          <w:tcPr>
            <w:tcW w:w="1842" w:type="dxa"/>
          </w:tcPr>
          <w:p w:rsidR="000B77F4" w:rsidRPr="004E53D1" w:rsidRDefault="000B77F4" w:rsidP="004E53D1">
            <w:pPr>
              <w:jc w:val="both"/>
              <w:rPr>
                <w:rFonts w:asciiTheme="majorHAnsi" w:hAnsiTheme="majorHAnsi"/>
              </w:rPr>
            </w:pPr>
            <w:r w:rsidRPr="004E53D1">
              <w:rPr>
                <w:rFonts w:asciiTheme="majorHAnsi" w:hAnsiTheme="majorHAnsi"/>
              </w:rPr>
              <w:t>1.</w:t>
            </w:r>
          </w:p>
        </w:tc>
        <w:tc>
          <w:tcPr>
            <w:tcW w:w="1842" w:type="dxa"/>
          </w:tcPr>
          <w:p w:rsidR="000B77F4" w:rsidRPr="004E53D1" w:rsidRDefault="000B77F4" w:rsidP="004E53D1">
            <w:pPr>
              <w:jc w:val="both"/>
              <w:rPr>
                <w:rFonts w:asciiTheme="majorHAnsi" w:hAnsiTheme="majorHAnsi"/>
              </w:rPr>
            </w:pPr>
            <w:r w:rsidRPr="004E53D1">
              <w:rPr>
                <w:rFonts w:asciiTheme="majorHAnsi" w:hAnsiTheme="majorHAnsi"/>
              </w:rPr>
              <w:t>1</w:t>
            </w:r>
          </w:p>
        </w:tc>
        <w:tc>
          <w:tcPr>
            <w:tcW w:w="1842" w:type="dxa"/>
          </w:tcPr>
          <w:p w:rsidR="000B77F4" w:rsidRPr="004E53D1" w:rsidRDefault="000B77F4" w:rsidP="004E53D1">
            <w:pPr>
              <w:jc w:val="both"/>
              <w:rPr>
                <w:rFonts w:asciiTheme="majorHAnsi" w:hAnsiTheme="majorHAnsi"/>
              </w:rPr>
            </w:pPr>
            <w:r w:rsidRPr="004E53D1">
              <w:rPr>
                <w:rFonts w:asciiTheme="majorHAnsi" w:hAnsiTheme="majorHAnsi"/>
              </w:rPr>
              <w:t>5</w:t>
            </w:r>
          </w:p>
        </w:tc>
        <w:tc>
          <w:tcPr>
            <w:tcW w:w="1843" w:type="dxa"/>
          </w:tcPr>
          <w:p w:rsidR="000B77F4" w:rsidRPr="004E53D1" w:rsidRDefault="000B77F4" w:rsidP="004E53D1">
            <w:pPr>
              <w:jc w:val="both"/>
              <w:rPr>
                <w:rFonts w:asciiTheme="majorHAnsi" w:hAnsiTheme="majorHAnsi"/>
              </w:rPr>
            </w:pPr>
            <w:r w:rsidRPr="004E53D1">
              <w:rPr>
                <w:rFonts w:asciiTheme="majorHAnsi" w:hAnsiTheme="majorHAnsi"/>
              </w:rPr>
              <w:t>3</w:t>
            </w:r>
          </w:p>
        </w:tc>
        <w:tc>
          <w:tcPr>
            <w:tcW w:w="1843" w:type="dxa"/>
          </w:tcPr>
          <w:p w:rsidR="000B77F4" w:rsidRPr="004E53D1" w:rsidRDefault="000B77F4" w:rsidP="004E53D1">
            <w:pPr>
              <w:jc w:val="both"/>
              <w:rPr>
                <w:rFonts w:asciiTheme="majorHAnsi" w:hAnsiTheme="majorHAnsi"/>
              </w:rPr>
            </w:pPr>
            <w:r w:rsidRPr="004E53D1">
              <w:rPr>
                <w:rFonts w:asciiTheme="majorHAnsi" w:hAnsiTheme="majorHAnsi"/>
              </w:rPr>
              <w:t>3</w:t>
            </w:r>
          </w:p>
        </w:tc>
      </w:tr>
      <w:tr w:rsidR="000B77F4" w:rsidRPr="004E53D1" w:rsidTr="00AF3449">
        <w:tc>
          <w:tcPr>
            <w:tcW w:w="1842" w:type="dxa"/>
          </w:tcPr>
          <w:p w:rsidR="000B77F4" w:rsidRPr="004E53D1" w:rsidRDefault="000B77F4" w:rsidP="004E53D1">
            <w:pPr>
              <w:jc w:val="both"/>
              <w:rPr>
                <w:rFonts w:asciiTheme="majorHAnsi" w:hAnsiTheme="majorHAnsi"/>
              </w:rPr>
            </w:pPr>
            <w:r w:rsidRPr="004E53D1">
              <w:rPr>
                <w:rFonts w:asciiTheme="majorHAnsi" w:hAnsiTheme="majorHAnsi"/>
              </w:rPr>
              <w:t>2.</w:t>
            </w:r>
          </w:p>
        </w:tc>
        <w:tc>
          <w:tcPr>
            <w:tcW w:w="1842" w:type="dxa"/>
          </w:tcPr>
          <w:p w:rsidR="000B77F4" w:rsidRPr="004E53D1" w:rsidRDefault="000B77F4" w:rsidP="004E53D1">
            <w:pPr>
              <w:jc w:val="both"/>
              <w:rPr>
                <w:rFonts w:asciiTheme="majorHAnsi" w:hAnsiTheme="majorHAnsi"/>
              </w:rPr>
            </w:pPr>
            <w:r w:rsidRPr="004E53D1">
              <w:rPr>
                <w:rFonts w:asciiTheme="majorHAnsi" w:hAnsiTheme="majorHAnsi"/>
              </w:rPr>
              <w:t>1</w:t>
            </w:r>
          </w:p>
        </w:tc>
        <w:tc>
          <w:tcPr>
            <w:tcW w:w="1842" w:type="dxa"/>
          </w:tcPr>
          <w:p w:rsidR="000B77F4" w:rsidRPr="004E53D1" w:rsidRDefault="000B77F4" w:rsidP="004E53D1">
            <w:pPr>
              <w:jc w:val="both"/>
              <w:rPr>
                <w:rFonts w:asciiTheme="majorHAnsi" w:hAnsiTheme="majorHAnsi"/>
              </w:rPr>
            </w:pPr>
            <w:r w:rsidRPr="004E53D1">
              <w:rPr>
                <w:rFonts w:asciiTheme="majorHAnsi" w:hAnsiTheme="majorHAnsi"/>
              </w:rPr>
              <w:t>5</w:t>
            </w:r>
          </w:p>
        </w:tc>
        <w:tc>
          <w:tcPr>
            <w:tcW w:w="1843" w:type="dxa"/>
          </w:tcPr>
          <w:p w:rsidR="000B77F4" w:rsidRPr="004E53D1" w:rsidRDefault="000B77F4" w:rsidP="004E53D1">
            <w:pPr>
              <w:jc w:val="both"/>
              <w:rPr>
                <w:rFonts w:asciiTheme="majorHAnsi" w:hAnsiTheme="majorHAnsi"/>
              </w:rPr>
            </w:pPr>
            <w:r w:rsidRPr="004E53D1">
              <w:rPr>
                <w:rFonts w:asciiTheme="majorHAnsi" w:hAnsiTheme="majorHAnsi"/>
              </w:rPr>
              <w:t>3</w:t>
            </w:r>
          </w:p>
        </w:tc>
        <w:tc>
          <w:tcPr>
            <w:tcW w:w="1843" w:type="dxa"/>
          </w:tcPr>
          <w:p w:rsidR="000B77F4" w:rsidRPr="004E53D1" w:rsidRDefault="000B77F4" w:rsidP="004E53D1">
            <w:pPr>
              <w:jc w:val="both"/>
              <w:rPr>
                <w:rFonts w:asciiTheme="majorHAnsi" w:hAnsiTheme="majorHAnsi"/>
              </w:rPr>
            </w:pPr>
            <w:r w:rsidRPr="004E53D1">
              <w:rPr>
                <w:rFonts w:asciiTheme="majorHAnsi" w:hAnsiTheme="majorHAnsi"/>
              </w:rPr>
              <w:t>3</w:t>
            </w:r>
          </w:p>
        </w:tc>
      </w:tr>
      <w:tr w:rsidR="000B77F4" w:rsidRPr="004E53D1" w:rsidTr="00AF3449">
        <w:tc>
          <w:tcPr>
            <w:tcW w:w="1842" w:type="dxa"/>
          </w:tcPr>
          <w:p w:rsidR="000B77F4" w:rsidRPr="004E53D1" w:rsidRDefault="000B77F4" w:rsidP="004E53D1">
            <w:pPr>
              <w:jc w:val="both"/>
              <w:rPr>
                <w:rFonts w:asciiTheme="majorHAnsi" w:hAnsiTheme="majorHAnsi"/>
              </w:rPr>
            </w:pPr>
            <w:r w:rsidRPr="004E53D1">
              <w:rPr>
                <w:rFonts w:asciiTheme="majorHAnsi" w:hAnsiTheme="majorHAnsi"/>
              </w:rPr>
              <w:t>3.</w:t>
            </w:r>
          </w:p>
        </w:tc>
        <w:tc>
          <w:tcPr>
            <w:tcW w:w="1842" w:type="dxa"/>
          </w:tcPr>
          <w:p w:rsidR="000B77F4" w:rsidRPr="004E53D1" w:rsidRDefault="000B77F4" w:rsidP="004E53D1">
            <w:pPr>
              <w:jc w:val="both"/>
              <w:rPr>
                <w:rFonts w:asciiTheme="majorHAnsi" w:hAnsiTheme="majorHAnsi"/>
              </w:rPr>
            </w:pPr>
            <w:r w:rsidRPr="004E53D1">
              <w:rPr>
                <w:rFonts w:asciiTheme="majorHAnsi" w:hAnsiTheme="majorHAnsi"/>
              </w:rPr>
              <w:t>7</w:t>
            </w:r>
          </w:p>
        </w:tc>
        <w:tc>
          <w:tcPr>
            <w:tcW w:w="1842" w:type="dxa"/>
          </w:tcPr>
          <w:p w:rsidR="000B77F4" w:rsidRPr="004E53D1" w:rsidRDefault="000B77F4" w:rsidP="004E53D1">
            <w:pPr>
              <w:jc w:val="both"/>
              <w:rPr>
                <w:rFonts w:asciiTheme="majorHAnsi" w:hAnsiTheme="majorHAnsi"/>
              </w:rPr>
            </w:pPr>
            <w:r w:rsidRPr="004E53D1">
              <w:rPr>
                <w:rFonts w:asciiTheme="majorHAnsi" w:hAnsiTheme="majorHAnsi"/>
              </w:rPr>
              <w:t>12</w:t>
            </w:r>
          </w:p>
        </w:tc>
        <w:tc>
          <w:tcPr>
            <w:tcW w:w="1843" w:type="dxa"/>
          </w:tcPr>
          <w:p w:rsidR="000B77F4" w:rsidRPr="004E53D1" w:rsidRDefault="000B77F4" w:rsidP="004E53D1">
            <w:pPr>
              <w:jc w:val="both"/>
              <w:rPr>
                <w:rFonts w:asciiTheme="majorHAnsi" w:hAnsiTheme="majorHAnsi"/>
              </w:rPr>
            </w:pPr>
            <w:r w:rsidRPr="004E53D1">
              <w:rPr>
                <w:rFonts w:asciiTheme="majorHAnsi" w:hAnsiTheme="majorHAnsi"/>
              </w:rPr>
              <w:t>8</w:t>
            </w:r>
          </w:p>
        </w:tc>
        <w:tc>
          <w:tcPr>
            <w:tcW w:w="1843" w:type="dxa"/>
          </w:tcPr>
          <w:p w:rsidR="000B77F4" w:rsidRPr="004E53D1" w:rsidRDefault="000B77F4" w:rsidP="004E53D1">
            <w:pPr>
              <w:jc w:val="both"/>
              <w:rPr>
                <w:rFonts w:asciiTheme="majorHAnsi" w:hAnsiTheme="majorHAnsi"/>
              </w:rPr>
            </w:pPr>
            <w:r w:rsidRPr="004E53D1">
              <w:rPr>
                <w:rFonts w:asciiTheme="majorHAnsi" w:hAnsiTheme="majorHAnsi"/>
              </w:rPr>
              <w:t>9</w:t>
            </w:r>
          </w:p>
        </w:tc>
      </w:tr>
    </w:tbl>
    <w:p w:rsidR="000B77F4" w:rsidRPr="004E53D1" w:rsidRDefault="000B77F4" w:rsidP="004E53D1">
      <w:pPr>
        <w:jc w:val="both"/>
        <w:rPr>
          <w:rFonts w:asciiTheme="majorHAnsi" w:hAnsiTheme="majorHAnsi"/>
        </w:rPr>
      </w:pPr>
    </w:p>
    <w:p w:rsidR="000B77F4" w:rsidRPr="004E53D1" w:rsidRDefault="000B77F4" w:rsidP="004E53D1">
      <w:pPr>
        <w:jc w:val="both"/>
        <w:rPr>
          <w:rFonts w:asciiTheme="majorHAnsi" w:hAnsiTheme="majorHAnsi"/>
        </w:rPr>
      </w:pPr>
    </w:p>
    <w:p w:rsidR="000B77F4" w:rsidRPr="004E53D1" w:rsidRDefault="00F4001C" w:rsidP="004E53D1">
      <w:pPr>
        <w:jc w:val="both"/>
        <w:rPr>
          <w:rFonts w:asciiTheme="majorHAnsi" w:hAnsiTheme="majorHAnsi"/>
          <w:bCs/>
        </w:rPr>
      </w:pPr>
      <w:r w:rsidRPr="004E53D1">
        <w:rPr>
          <w:rFonts w:asciiTheme="majorHAnsi" w:hAnsiTheme="majorHAnsi"/>
          <w:bCs/>
        </w:rPr>
        <w:lastRenderedPageBreak/>
        <w:pict>
          <v:shape id="_x0000_s1035" type="#_x0000_t202" style="position:absolute;left:0;text-align:left;margin-left:4.9pt;margin-top:177.4pt;width:24.75pt;height:18pt;z-index:251663360" filled="f" stroked="f" strokecolor="white [3212]">
            <v:textbox>
              <w:txbxContent>
                <w:p w:rsidR="000B77F4" w:rsidRDefault="000B77F4" w:rsidP="000B77F4">
                  <w:r>
                    <w:t>3.hj.…..</w:t>
                  </w:r>
                </w:p>
              </w:txbxContent>
            </v:textbox>
          </v:shape>
        </w:pict>
      </w:r>
      <w:r w:rsidRPr="004E53D1">
        <w:rPr>
          <w:rFonts w:asciiTheme="majorHAnsi" w:hAnsiTheme="majorHAnsi"/>
          <w:bCs/>
        </w:rPr>
        <w:pict>
          <v:shape id="_x0000_s1034" type="#_x0000_t202" style="position:absolute;left:0;text-align:left;margin-left:5.65pt;margin-top:118.15pt;width:24pt;height:18pt;z-index:251662336" filled="f" stroked="f" strokecolor="white [3212]">
            <v:textbox>
              <w:txbxContent>
                <w:p w:rsidR="000B77F4" w:rsidRDefault="000B77F4" w:rsidP="000B77F4">
                  <w:r>
                    <w:t>2...</w:t>
                  </w:r>
                </w:p>
              </w:txbxContent>
            </v:textbox>
          </v:shape>
        </w:pict>
      </w:r>
      <w:r w:rsidRPr="004E53D1">
        <w:rPr>
          <w:rFonts w:asciiTheme="majorHAnsi" w:hAnsiTheme="majorHAnsi"/>
          <w:bCs/>
        </w:rPr>
        <w:pict>
          <v:shape id="_x0000_s1033" type="#_x0000_t202" style="position:absolute;left:0;text-align:left;margin-left:5.65pt;margin-top:82.15pt;width:24pt;height:18pt;z-index:251661312" filled="f" stroked="f" strokecolor="white [3212]">
            <v:textbox>
              <w:txbxContent>
                <w:p w:rsidR="000B77F4" w:rsidRDefault="000B77F4" w:rsidP="000B77F4">
                  <w:r>
                    <w:t>1..</w:t>
                  </w:r>
                </w:p>
              </w:txbxContent>
            </v:textbox>
          </v:shape>
        </w:pict>
      </w:r>
      <w:r w:rsidR="000B77F4" w:rsidRPr="004E53D1">
        <w:rPr>
          <w:rFonts w:asciiTheme="majorHAnsi" w:hAnsiTheme="majorHAnsi"/>
          <w:bCs/>
          <w:noProof/>
          <w:lang w:eastAsia="de-DE"/>
        </w:rPr>
        <w:drawing>
          <wp:inline distT="0" distB="0" distL="0" distR="0">
            <wp:extent cx="2638425" cy="3105335"/>
            <wp:effectExtent l="19050" t="0" r="9525" b="0"/>
            <wp:docPr id="10" name="Bild 15" descr="C:\Users\TOSHIBA\Desktop\SVP_Chemie\Carbonsäure\Bilder 11&amp;12\DSCF2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OSHIBA\Desktop\SVP_Chemie\Carbonsäure\Bilder 11&amp;12\DSCF2709.JPG"/>
                    <pic:cNvPicPr>
                      <a:picLocks noChangeAspect="1" noChangeArrowheads="1"/>
                    </pic:cNvPicPr>
                  </pic:nvPicPr>
                  <pic:blipFill>
                    <a:blip r:embed="rId16" cstate="print"/>
                    <a:srcRect l="21983" r="19174" b="7709"/>
                    <a:stretch>
                      <a:fillRect/>
                    </a:stretch>
                  </pic:blipFill>
                  <pic:spPr bwMode="auto">
                    <a:xfrm>
                      <a:off x="0" y="0"/>
                      <a:ext cx="2642013" cy="3109557"/>
                    </a:xfrm>
                    <a:prstGeom prst="rect">
                      <a:avLst/>
                    </a:prstGeom>
                    <a:noFill/>
                    <a:ln w="9525">
                      <a:noFill/>
                      <a:miter lim="800000"/>
                      <a:headEnd/>
                      <a:tailEnd/>
                    </a:ln>
                  </pic:spPr>
                </pic:pic>
              </a:graphicData>
            </a:graphic>
          </wp:inline>
        </w:drawing>
      </w:r>
    </w:p>
    <w:p w:rsidR="000B77F4" w:rsidRPr="004E53D1" w:rsidRDefault="000B77F4" w:rsidP="004E53D1">
      <w:pPr>
        <w:jc w:val="both"/>
        <w:rPr>
          <w:rFonts w:asciiTheme="majorHAnsi" w:hAnsiTheme="majorHAnsi"/>
          <w:bCs/>
        </w:rPr>
      </w:pPr>
      <w:proofErr w:type="spellStart"/>
      <w:r w:rsidRPr="004E53D1">
        <w:rPr>
          <w:rFonts w:asciiTheme="majorHAnsi" w:hAnsiTheme="majorHAnsi"/>
          <w:bCs/>
        </w:rPr>
        <w:t>Abb</w:t>
      </w:r>
      <w:proofErr w:type="spellEnd"/>
      <w:r w:rsidRPr="004E53D1">
        <w:rPr>
          <w:rFonts w:asciiTheme="majorHAnsi" w:hAnsiTheme="majorHAnsi"/>
          <w:bCs/>
        </w:rPr>
        <w:t xml:space="preserve"> 1: Proben der Lebensmittel Zitrone, Joghurt, Essig, Wein (von links) mit Indikatorpapier.</w:t>
      </w:r>
    </w:p>
    <w:p w:rsidR="000B77F4" w:rsidRPr="004E53D1" w:rsidRDefault="000B77F4" w:rsidP="004E53D1">
      <w:pPr>
        <w:jc w:val="both"/>
        <w:rPr>
          <w:rFonts w:asciiTheme="majorHAnsi" w:hAnsiTheme="majorHAnsi"/>
          <w:bCs/>
        </w:rPr>
      </w:pPr>
    </w:p>
    <w:p w:rsidR="000B77F4" w:rsidRPr="004E53D1" w:rsidRDefault="000B77F4" w:rsidP="004E53D1">
      <w:pPr>
        <w:ind w:left="1410" w:hanging="1410"/>
        <w:jc w:val="both"/>
        <w:rPr>
          <w:rFonts w:asciiTheme="majorHAnsi" w:hAnsiTheme="majorHAnsi"/>
        </w:rPr>
      </w:pPr>
      <w:r w:rsidRPr="004E53D1">
        <w:rPr>
          <w:rFonts w:asciiTheme="majorHAnsi" w:hAnsiTheme="majorHAnsi"/>
        </w:rPr>
        <w:t>Deutung:</w:t>
      </w:r>
      <w:r w:rsidRPr="004E53D1">
        <w:rPr>
          <w:rFonts w:asciiTheme="majorHAnsi" w:hAnsiTheme="majorHAnsi"/>
        </w:rPr>
        <w:tab/>
        <w:t>Durch Zucker lässt sich zwar der saure Geschmack des Lebensmittels süßen, das chemische Verhalten der Probe wird allerdings nicht beeinflusst. Die Lebensmittel sollen von den SuS nicht probiert werden, dass ein Stoff durch Zucker süß wird wissen die SuS aus eigener Erfahrung.</w:t>
      </w:r>
    </w:p>
    <w:p w:rsidR="000B77F4" w:rsidRPr="004E53D1" w:rsidRDefault="000B77F4" w:rsidP="004E53D1">
      <w:pPr>
        <w:ind w:left="1410"/>
        <w:jc w:val="both"/>
        <w:rPr>
          <w:rFonts w:asciiTheme="majorHAnsi" w:hAnsiTheme="majorHAnsi"/>
        </w:rPr>
      </w:pPr>
      <w:r w:rsidRPr="004E53D1">
        <w:rPr>
          <w:rFonts w:asciiTheme="majorHAnsi" w:hAnsiTheme="majorHAnsi"/>
        </w:rPr>
        <w:t xml:space="preserve">Die saure Reaktion der Carbonsäuren beruht auf der Übertragung des Protons der </w:t>
      </w:r>
      <w:proofErr w:type="spellStart"/>
      <w:r w:rsidRPr="004E53D1">
        <w:rPr>
          <w:rFonts w:asciiTheme="majorHAnsi" w:hAnsiTheme="majorHAnsi"/>
        </w:rPr>
        <w:t>Carboxyl</w:t>
      </w:r>
      <w:proofErr w:type="spellEnd"/>
      <w:r w:rsidRPr="004E53D1">
        <w:rPr>
          <w:rFonts w:asciiTheme="majorHAnsi" w:hAnsiTheme="majorHAnsi"/>
        </w:rPr>
        <w:t>-Gruppe auf ein Wassermolekül:</w:t>
      </w:r>
    </w:p>
    <w:p w:rsidR="000B77F4" w:rsidRPr="004E53D1" w:rsidRDefault="000B77F4" w:rsidP="004E53D1">
      <w:pPr>
        <w:jc w:val="both"/>
        <w:rPr>
          <w:rFonts w:asciiTheme="majorHAnsi" w:hAnsiTheme="majorHAnsi"/>
          <w:vertAlign w:val="subscript"/>
        </w:rPr>
      </w:pPr>
      <w:r w:rsidRPr="004E53D1">
        <w:rPr>
          <w:rFonts w:asciiTheme="majorHAnsi" w:hAnsiTheme="majorHAnsi"/>
        </w:rPr>
        <w:tab/>
      </w:r>
      <w:r w:rsidR="004E53D1">
        <w:rPr>
          <w:rFonts w:asciiTheme="majorHAnsi" w:hAnsiTheme="majorHAnsi"/>
        </w:rPr>
        <w:tab/>
      </w:r>
      <w:r w:rsidRPr="004E53D1">
        <w:rPr>
          <w:rFonts w:asciiTheme="majorHAnsi" w:hAnsiTheme="majorHAnsi"/>
        </w:rPr>
        <w:t>H</w:t>
      </w:r>
      <w:r w:rsidRPr="004E53D1">
        <w:rPr>
          <w:rFonts w:asciiTheme="majorHAnsi" w:hAnsiTheme="majorHAnsi"/>
          <w:vertAlign w:val="superscript"/>
        </w:rPr>
        <w:t>+</w:t>
      </w:r>
      <w:r w:rsidRPr="004E53D1">
        <w:rPr>
          <w:rFonts w:asciiTheme="majorHAnsi" w:hAnsiTheme="majorHAnsi"/>
          <w:vertAlign w:val="subscript"/>
        </w:rPr>
        <w:t>(</w:t>
      </w:r>
      <w:proofErr w:type="spellStart"/>
      <w:r w:rsidRPr="004E53D1">
        <w:rPr>
          <w:rFonts w:asciiTheme="majorHAnsi" w:hAnsiTheme="majorHAnsi"/>
          <w:vertAlign w:val="subscript"/>
        </w:rPr>
        <w:t>aq</w:t>
      </w:r>
      <w:proofErr w:type="spellEnd"/>
      <w:r w:rsidRPr="004E53D1">
        <w:rPr>
          <w:rFonts w:asciiTheme="majorHAnsi" w:hAnsiTheme="majorHAnsi"/>
          <w:vertAlign w:val="subscript"/>
        </w:rPr>
        <w:t>)</w:t>
      </w:r>
      <w:r w:rsidRPr="004E53D1">
        <w:rPr>
          <w:rFonts w:asciiTheme="majorHAnsi" w:hAnsiTheme="majorHAnsi"/>
        </w:rPr>
        <w:t xml:space="preserve"> + H</w:t>
      </w:r>
      <w:r w:rsidRPr="004E53D1">
        <w:rPr>
          <w:rFonts w:asciiTheme="majorHAnsi" w:hAnsiTheme="majorHAnsi"/>
          <w:vertAlign w:val="subscript"/>
        </w:rPr>
        <w:t>2</w:t>
      </w:r>
      <w:r w:rsidRPr="004E53D1">
        <w:rPr>
          <w:rFonts w:asciiTheme="majorHAnsi" w:hAnsiTheme="majorHAnsi"/>
        </w:rPr>
        <w:t>O</w:t>
      </w:r>
      <w:r w:rsidRPr="004E53D1">
        <w:rPr>
          <w:rFonts w:asciiTheme="majorHAnsi" w:hAnsiTheme="majorHAnsi"/>
          <w:vertAlign w:val="subscript"/>
        </w:rPr>
        <w:t>(l)</w:t>
      </w:r>
      <w:r w:rsidRPr="004E53D1">
        <w:rPr>
          <w:rFonts w:asciiTheme="majorHAnsi" w:hAnsiTheme="majorHAnsi"/>
        </w:rPr>
        <w:tab/>
        <w:t xml:space="preserve">   </w:t>
      </w:r>
      <w:r w:rsidRPr="004E53D1">
        <w:rPr>
          <w:rFonts w:asciiTheme="majorHAnsi" w:hAnsiTheme="majorHAnsi" w:cs="Cambria Math"/>
        </w:rPr>
        <w:t>⇆</w:t>
      </w:r>
      <w:r w:rsidRPr="004E53D1">
        <w:rPr>
          <w:rFonts w:asciiTheme="majorHAnsi" w:hAnsiTheme="majorHAnsi"/>
        </w:rPr>
        <w:tab/>
        <w:t>H</w:t>
      </w:r>
      <w:r w:rsidRPr="004E53D1">
        <w:rPr>
          <w:rFonts w:asciiTheme="majorHAnsi" w:hAnsiTheme="majorHAnsi"/>
          <w:vertAlign w:val="subscript"/>
        </w:rPr>
        <w:t>3</w:t>
      </w:r>
      <w:r w:rsidRPr="004E53D1">
        <w:rPr>
          <w:rFonts w:asciiTheme="majorHAnsi" w:hAnsiTheme="majorHAnsi"/>
        </w:rPr>
        <w:t>O</w:t>
      </w:r>
      <w:r w:rsidRPr="004E53D1">
        <w:rPr>
          <w:rFonts w:asciiTheme="majorHAnsi" w:hAnsiTheme="majorHAnsi"/>
          <w:vertAlign w:val="superscript"/>
        </w:rPr>
        <w:t xml:space="preserve">+ </w:t>
      </w:r>
      <w:r w:rsidRPr="004E53D1">
        <w:rPr>
          <w:rFonts w:asciiTheme="majorHAnsi" w:hAnsiTheme="majorHAnsi"/>
          <w:vertAlign w:val="subscript"/>
        </w:rPr>
        <w:t>(</w:t>
      </w:r>
      <w:proofErr w:type="spellStart"/>
      <w:r w:rsidRPr="004E53D1">
        <w:rPr>
          <w:rFonts w:asciiTheme="majorHAnsi" w:hAnsiTheme="majorHAnsi"/>
          <w:vertAlign w:val="subscript"/>
        </w:rPr>
        <w:t>aq</w:t>
      </w:r>
      <w:proofErr w:type="spellEnd"/>
      <w:r w:rsidRPr="004E53D1">
        <w:rPr>
          <w:rFonts w:asciiTheme="majorHAnsi" w:hAnsiTheme="majorHAnsi"/>
          <w:vertAlign w:val="subscript"/>
        </w:rPr>
        <w:t>)</w:t>
      </w:r>
    </w:p>
    <w:p w:rsidR="000B77F4" w:rsidRPr="004E53D1" w:rsidRDefault="000B77F4" w:rsidP="004E53D1">
      <w:pPr>
        <w:jc w:val="both"/>
        <w:rPr>
          <w:rFonts w:asciiTheme="majorHAnsi" w:hAnsiTheme="majorHAnsi"/>
        </w:rPr>
      </w:pPr>
      <w:r w:rsidRPr="004E53D1">
        <w:rPr>
          <w:rFonts w:asciiTheme="majorHAnsi" w:hAnsiTheme="majorHAnsi"/>
        </w:rPr>
        <w:tab/>
      </w:r>
      <w:r w:rsidR="004E53D1">
        <w:rPr>
          <w:rFonts w:asciiTheme="majorHAnsi" w:hAnsiTheme="majorHAnsi"/>
        </w:rPr>
        <w:tab/>
      </w:r>
      <w:r w:rsidRPr="004E53D1">
        <w:rPr>
          <w:rFonts w:asciiTheme="majorHAnsi" w:hAnsiTheme="majorHAnsi"/>
        </w:rPr>
        <w:t>Die Säure kann durch verdünnte Natronlauge neutralisiert werden.</w:t>
      </w:r>
    </w:p>
    <w:p w:rsidR="000B77F4" w:rsidRPr="004E53D1" w:rsidRDefault="000B77F4" w:rsidP="004E53D1">
      <w:pPr>
        <w:jc w:val="both"/>
        <w:rPr>
          <w:rFonts w:asciiTheme="majorHAnsi" w:hAnsiTheme="majorHAnsi"/>
        </w:rPr>
      </w:pPr>
      <w:r w:rsidRPr="004E53D1">
        <w:rPr>
          <w:rFonts w:asciiTheme="majorHAnsi" w:hAnsiTheme="majorHAnsi"/>
        </w:rPr>
        <w:tab/>
      </w:r>
      <w:r w:rsidR="004E53D1">
        <w:rPr>
          <w:rFonts w:asciiTheme="majorHAnsi" w:hAnsiTheme="majorHAnsi"/>
        </w:rPr>
        <w:tab/>
      </w:r>
      <w:r w:rsidRPr="004E53D1">
        <w:rPr>
          <w:rFonts w:asciiTheme="majorHAnsi" w:hAnsiTheme="majorHAnsi"/>
        </w:rPr>
        <w:t>H</w:t>
      </w:r>
      <w:r w:rsidRPr="004E53D1">
        <w:rPr>
          <w:rFonts w:asciiTheme="majorHAnsi" w:hAnsiTheme="majorHAnsi"/>
          <w:vertAlign w:val="subscript"/>
        </w:rPr>
        <w:t>3</w:t>
      </w:r>
      <w:r w:rsidRPr="004E53D1">
        <w:rPr>
          <w:rFonts w:asciiTheme="majorHAnsi" w:hAnsiTheme="majorHAnsi"/>
        </w:rPr>
        <w:t>O</w:t>
      </w:r>
      <w:r w:rsidRPr="004E53D1">
        <w:rPr>
          <w:rFonts w:asciiTheme="majorHAnsi" w:hAnsiTheme="majorHAnsi"/>
          <w:vertAlign w:val="superscript"/>
        </w:rPr>
        <w:t>+</w:t>
      </w:r>
      <w:r w:rsidRPr="004E53D1">
        <w:rPr>
          <w:rFonts w:asciiTheme="majorHAnsi" w:hAnsiTheme="majorHAnsi"/>
          <w:vertAlign w:val="subscript"/>
        </w:rPr>
        <w:t>(</w:t>
      </w:r>
      <w:proofErr w:type="spellStart"/>
      <w:r w:rsidRPr="004E53D1">
        <w:rPr>
          <w:rFonts w:asciiTheme="majorHAnsi" w:hAnsiTheme="majorHAnsi"/>
          <w:vertAlign w:val="subscript"/>
        </w:rPr>
        <w:t>aq</w:t>
      </w:r>
      <w:proofErr w:type="spellEnd"/>
      <w:r w:rsidRPr="004E53D1">
        <w:rPr>
          <w:rFonts w:asciiTheme="majorHAnsi" w:hAnsiTheme="majorHAnsi"/>
          <w:vertAlign w:val="subscript"/>
        </w:rPr>
        <w:t>)</w:t>
      </w:r>
      <w:r w:rsidRPr="004E53D1">
        <w:rPr>
          <w:rFonts w:asciiTheme="majorHAnsi" w:hAnsiTheme="majorHAnsi"/>
        </w:rPr>
        <w:t xml:space="preserve"> + Na</w:t>
      </w:r>
      <w:r w:rsidRPr="004E53D1">
        <w:rPr>
          <w:rFonts w:asciiTheme="majorHAnsi" w:hAnsiTheme="majorHAnsi"/>
          <w:vertAlign w:val="superscript"/>
        </w:rPr>
        <w:t>+</w:t>
      </w:r>
      <w:r w:rsidRPr="004E53D1">
        <w:rPr>
          <w:rFonts w:asciiTheme="majorHAnsi" w:hAnsiTheme="majorHAnsi"/>
          <w:vertAlign w:val="subscript"/>
        </w:rPr>
        <w:t>(</w:t>
      </w:r>
      <w:proofErr w:type="spellStart"/>
      <w:r w:rsidRPr="004E53D1">
        <w:rPr>
          <w:rFonts w:asciiTheme="majorHAnsi" w:hAnsiTheme="majorHAnsi"/>
          <w:vertAlign w:val="subscript"/>
        </w:rPr>
        <w:t>aq</w:t>
      </w:r>
      <w:proofErr w:type="spellEnd"/>
      <w:r w:rsidRPr="004E53D1">
        <w:rPr>
          <w:rFonts w:asciiTheme="majorHAnsi" w:hAnsiTheme="majorHAnsi"/>
          <w:vertAlign w:val="subscript"/>
        </w:rPr>
        <w:t>)</w:t>
      </w:r>
      <w:r w:rsidRPr="004E53D1">
        <w:rPr>
          <w:rFonts w:asciiTheme="majorHAnsi" w:hAnsiTheme="majorHAnsi"/>
          <w:vertAlign w:val="superscript"/>
        </w:rPr>
        <w:t xml:space="preserve"> </w:t>
      </w:r>
      <w:r w:rsidRPr="004E53D1">
        <w:rPr>
          <w:rFonts w:asciiTheme="majorHAnsi" w:hAnsiTheme="majorHAnsi"/>
        </w:rPr>
        <w:t xml:space="preserve"> + OH</w:t>
      </w:r>
      <w:r w:rsidRPr="004E53D1">
        <w:rPr>
          <w:rFonts w:asciiTheme="majorHAnsi" w:hAnsiTheme="majorHAnsi"/>
          <w:vertAlign w:val="superscript"/>
        </w:rPr>
        <w:t>-</w:t>
      </w:r>
      <w:r w:rsidRPr="004E53D1">
        <w:rPr>
          <w:rFonts w:asciiTheme="majorHAnsi" w:hAnsiTheme="majorHAnsi"/>
          <w:vertAlign w:val="subscript"/>
        </w:rPr>
        <w:t>(</w:t>
      </w:r>
      <w:proofErr w:type="spellStart"/>
      <w:r w:rsidRPr="004E53D1">
        <w:rPr>
          <w:rFonts w:asciiTheme="majorHAnsi" w:hAnsiTheme="majorHAnsi"/>
          <w:vertAlign w:val="subscript"/>
        </w:rPr>
        <w:t>aq</w:t>
      </w:r>
      <w:proofErr w:type="spellEnd"/>
      <w:r w:rsidRPr="004E53D1">
        <w:rPr>
          <w:rFonts w:asciiTheme="majorHAnsi" w:hAnsiTheme="majorHAnsi"/>
          <w:vertAlign w:val="subscript"/>
        </w:rPr>
        <w:t>)</w:t>
      </w:r>
      <w:r w:rsidRPr="004E53D1">
        <w:rPr>
          <w:rFonts w:asciiTheme="majorHAnsi" w:hAnsiTheme="majorHAnsi"/>
        </w:rPr>
        <w:tab/>
        <w:t xml:space="preserve"> </w:t>
      </w:r>
      <w:r w:rsidRPr="004E53D1">
        <w:rPr>
          <w:rFonts w:asciiTheme="majorHAnsi" w:hAnsiTheme="majorHAnsi" w:cs="Cambria Math"/>
        </w:rPr>
        <w:t>⇆</w:t>
      </w:r>
      <w:r w:rsidRPr="004E53D1">
        <w:rPr>
          <w:rFonts w:asciiTheme="majorHAnsi" w:hAnsiTheme="majorHAnsi"/>
        </w:rPr>
        <w:tab/>
        <w:t>Na</w:t>
      </w:r>
      <w:r w:rsidRPr="004E53D1">
        <w:rPr>
          <w:rFonts w:asciiTheme="majorHAnsi" w:hAnsiTheme="majorHAnsi"/>
          <w:vertAlign w:val="superscript"/>
        </w:rPr>
        <w:t>+</w:t>
      </w:r>
      <w:r w:rsidRPr="004E53D1">
        <w:rPr>
          <w:rFonts w:asciiTheme="majorHAnsi" w:hAnsiTheme="majorHAnsi"/>
          <w:vertAlign w:val="subscript"/>
        </w:rPr>
        <w:t>(</w:t>
      </w:r>
      <w:proofErr w:type="spellStart"/>
      <w:r w:rsidRPr="004E53D1">
        <w:rPr>
          <w:rFonts w:asciiTheme="majorHAnsi" w:hAnsiTheme="majorHAnsi"/>
          <w:vertAlign w:val="subscript"/>
        </w:rPr>
        <w:t>aq</w:t>
      </w:r>
      <w:proofErr w:type="spellEnd"/>
      <w:r w:rsidRPr="004E53D1">
        <w:rPr>
          <w:rFonts w:asciiTheme="majorHAnsi" w:hAnsiTheme="majorHAnsi"/>
          <w:vertAlign w:val="subscript"/>
        </w:rPr>
        <w:t>)</w:t>
      </w:r>
      <w:r w:rsidRPr="004E53D1">
        <w:rPr>
          <w:rFonts w:asciiTheme="majorHAnsi" w:hAnsiTheme="majorHAnsi"/>
          <w:vertAlign w:val="superscript"/>
        </w:rPr>
        <w:t xml:space="preserve"> </w:t>
      </w:r>
      <w:r w:rsidRPr="004E53D1">
        <w:rPr>
          <w:rFonts w:asciiTheme="majorHAnsi" w:hAnsiTheme="majorHAnsi"/>
        </w:rPr>
        <w:t xml:space="preserve"> + 2 H</w:t>
      </w:r>
      <w:r w:rsidRPr="004E53D1">
        <w:rPr>
          <w:rFonts w:asciiTheme="majorHAnsi" w:hAnsiTheme="majorHAnsi"/>
          <w:vertAlign w:val="subscript"/>
        </w:rPr>
        <w:t>2</w:t>
      </w:r>
      <w:r w:rsidRPr="004E53D1">
        <w:rPr>
          <w:rFonts w:asciiTheme="majorHAnsi" w:hAnsiTheme="majorHAnsi"/>
        </w:rPr>
        <w:t>O</w:t>
      </w:r>
      <w:r w:rsidRPr="004E53D1">
        <w:rPr>
          <w:rFonts w:asciiTheme="majorHAnsi" w:hAnsiTheme="majorHAnsi"/>
          <w:vertAlign w:val="subscript"/>
        </w:rPr>
        <w:t>(l)</w:t>
      </w:r>
    </w:p>
    <w:p w:rsidR="000B77F4" w:rsidRPr="004E53D1" w:rsidRDefault="000B77F4" w:rsidP="004E53D1">
      <w:pPr>
        <w:jc w:val="both"/>
        <w:rPr>
          <w:rFonts w:asciiTheme="majorHAnsi" w:hAnsiTheme="majorHAnsi"/>
        </w:rPr>
      </w:pPr>
    </w:p>
    <w:p w:rsidR="000B77F4" w:rsidRPr="004E53D1" w:rsidRDefault="000B77F4" w:rsidP="004E53D1">
      <w:pPr>
        <w:jc w:val="both"/>
        <w:rPr>
          <w:rFonts w:asciiTheme="majorHAnsi" w:hAnsiTheme="majorHAnsi"/>
        </w:rPr>
      </w:pPr>
      <w:r w:rsidRPr="004E53D1">
        <w:rPr>
          <w:rFonts w:asciiTheme="majorHAnsi" w:hAnsiTheme="majorHAnsi"/>
        </w:rPr>
        <w:t>Entsorgung:</w:t>
      </w:r>
      <w:r w:rsidRPr="004E53D1">
        <w:rPr>
          <w:rFonts w:asciiTheme="majorHAnsi" w:hAnsiTheme="majorHAnsi"/>
        </w:rPr>
        <w:tab/>
        <w:t>Die Proben können im Säure-Base-Behälter entsorgt werden.</w:t>
      </w:r>
    </w:p>
    <w:p w:rsidR="000B77F4" w:rsidRPr="004E53D1" w:rsidRDefault="000B77F4" w:rsidP="004E53D1">
      <w:pPr>
        <w:jc w:val="both"/>
        <w:rPr>
          <w:rFonts w:asciiTheme="majorHAnsi" w:hAnsiTheme="majorHAnsi"/>
        </w:rPr>
      </w:pPr>
    </w:p>
    <w:p w:rsidR="000B77F4" w:rsidRPr="004E53D1" w:rsidRDefault="000B77F4" w:rsidP="004E53D1">
      <w:pPr>
        <w:ind w:left="1410" w:hanging="1410"/>
        <w:jc w:val="both"/>
        <w:rPr>
          <w:rFonts w:asciiTheme="majorHAnsi" w:hAnsiTheme="majorHAnsi"/>
        </w:rPr>
      </w:pPr>
      <w:r w:rsidRPr="004E53D1">
        <w:rPr>
          <w:rFonts w:asciiTheme="majorHAnsi" w:hAnsiTheme="majorHAnsi"/>
        </w:rPr>
        <w:t>Literatur:</w:t>
      </w:r>
      <w:r w:rsidRPr="004E53D1">
        <w:rPr>
          <w:rFonts w:asciiTheme="majorHAnsi" w:hAnsiTheme="majorHAnsi"/>
        </w:rPr>
        <w:tab/>
        <w:t xml:space="preserve">M. Walter: </w:t>
      </w:r>
      <w:r w:rsidR="004E53D1" w:rsidRPr="004E53D1">
        <w:rPr>
          <w:rFonts w:asciiTheme="majorHAnsi" w:hAnsiTheme="majorHAnsi"/>
        </w:rPr>
        <w:t>http://www.marlene-walter.de/chemie/klasse11/hydroxycarbon</w:t>
      </w:r>
      <w:r w:rsidRPr="004E53D1">
        <w:rPr>
          <w:rFonts w:asciiTheme="majorHAnsi" w:hAnsiTheme="majorHAnsi"/>
        </w:rPr>
        <w:t xml:space="preserve"> saeuren_in_lebensmitteln.pdf (zuletzt besucht: 06.08.2013)</w:t>
      </w:r>
    </w:p>
    <w:p w:rsidR="000B77F4" w:rsidRPr="004E53D1" w:rsidRDefault="000B77F4" w:rsidP="004E53D1">
      <w:pPr>
        <w:jc w:val="both"/>
        <w:rPr>
          <w:rFonts w:asciiTheme="majorHAnsi" w:hAnsiTheme="majorHAnsi"/>
        </w:rPr>
      </w:pPr>
    </w:p>
    <w:p w:rsidR="0043384F" w:rsidRPr="004E53D1" w:rsidRDefault="00F4001C" w:rsidP="004E53D1">
      <w:pPr>
        <w:jc w:val="both"/>
        <w:rPr>
          <w:rFonts w:asciiTheme="majorHAnsi" w:hAnsiTheme="majorHAnsi"/>
        </w:rPr>
      </w:pPr>
      <w:r w:rsidRPr="004E53D1">
        <w:rPr>
          <w:rFonts w:asciiTheme="majorHAnsi" w:hAnsiTheme="majorHAnsi"/>
        </w:rPr>
      </w:r>
      <w:r w:rsidRPr="004E53D1">
        <w:rPr>
          <w:rFonts w:asciiTheme="majorHAnsi" w:hAnsiTheme="majorHAnsi"/>
        </w:rPr>
        <w:pict>
          <v:shape id="_x0000_s1036" type="#_x0000_t202" style="width:462.45pt;height:121.15pt;mso-position-horizontal-relative:char;mso-position-vertical-relative:line;mso-width-relative:margin;mso-height-relative:margin" fillcolor="white [3201]" strokecolor="#c0504d [3205]" strokeweight="1pt">
            <v:stroke dashstyle="dash"/>
            <v:shadow color="#868686"/>
            <v:textbox style="mso-next-textbox:#_x0000_s1036">
              <w:txbxContent>
                <w:p w:rsidR="000B77F4" w:rsidRPr="004E53D1" w:rsidRDefault="000B77F4" w:rsidP="004E53D1">
                  <w:pPr>
                    <w:jc w:val="both"/>
                    <w:rPr>
                      <w:rFonts w:asciiTheme="majorHAnsi" w:hAnsiTheme="majorHAnsi"/>
                    </w:rPr>
                  </w:pPr>
                  <w:r w:rsidRPr="004E53D1">
                    <w:rPr>
                      <w:rFonts w:asciiTheme="majorHAnsi" w:hAnsiTheme="majorHAnsi"/>
                    </w:rPr>
                    <w:t xml:space="preserve">Dieser Versuch eignet sich als Einführung in das Thema der Carbonsäuren. Hier kann noch einmal die Säure-Base-Theorie nach </w:t>
                  </w:r>
                  <w:proofErr w:type="spellStart"/>
                  <w:r w:rsidRPr="004E53D1">
                    <w:rPr>
                      <w:rFonts w:asciiTheme="majorHAnsi" w:hAnsiTheme="majorHAnsi"/>
                    </w:rPr>
                    <w:t>Brönsted</w:t>
                  </w:r>
                  <w:proofErr w:type="spellEnd"/>
                  <w:r w:rsidRPr="004E53D1">
                    <w:rPr>
                      <w:rFonts w:asciiTheme="majorHAnsi" w:hAnsiTheme="majorHAnsi"/>
                    </w:rPr>
                    <w:t xml:space="preserve"> wiederholt werden.</w:t>
                  </w:r>
                </w:p>
                <w:p w:rsidR="000B77F4" w:rsidRPr="004E53D1" w:rsidRDefault="000B77F4" w:rsidP="004E53D1">
                  <w:pPr>
                    <w:jc w:val="both"/>
                    <w:rPr>
                      <w:rFonts w:asciiTheme="majorHAnsi" w:hAnsiTheme="majorHAnsi"/>
                    </w:rPr>
                  </w:pPr>
                  <w:r w:rsidRPr="004E53D1">
                    <w:rPr>
                      <w:rFonts w:asciiTheme="majorHAnsi" w:hAnsiTheme="majorHAnsi"/>
                    </w:rPr>
                    <w:t>Dieser Versuch kann den SuS die Alltagsrelevanz der Carbonsäuren aufzeigen. Es wird allerdings nicht bewiesen, dass die saure Wirkung der Probe tatsächlich durch Carbonsäuren hervorgerufen wird. Daher ist es sinnvoll, weitere Versuche an diesen anzuschließen, wie z.B. der Nachweis von Carbonsäure in Zitrone (V2).</w:t>
                  </w:r>
                </w:p>
              </w:txbxContent>
            </v:textbox>
            <w10:wrap type="none"/>
            <w10:anchorlock/>
          </v:shape>
        </w:pict>
      </w:r>
    </w:p>
    <w:sectPr w:rsidR="0043384F" w:rsidRPr="004E53D1" w:rsidSect="001A2281">
      <w:headerReference w:type="default" r:id="rId1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D66" w:rsidRDefault="00BC0D66" w:rsidP="000B77F4">
      <w:pPr>
        <w:spacing w:line="240" w:lineRule="auto"/>
      </w:pPr>
      <w:r>
        <w:separator/>
      </w:r>
    </w:p>
  </w:endnote>
  <w:endnote w:type="continuationSeparator" w:id="0">
    <w:p w:rsidR="00BC0D66" w:rsidRDefault="00BC0D66" w:rsidP="000B77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D66" w:rsidRDefault="00BC0D66" w:rsidP="000B77F4">
      <w:pPr>
        <w:spacing w:line="240" w:lineRule="auto"/>
      </w:pPr>
      <w:r>
        <w:separator/>
      </w:r>
    </w:p>
  </w:footnote>
  <w:footnote w:type="continuationSeparator" w:id="0">
    <w:p w:rsidR="00BC0D66" w:rsidRDefault="00BC0D66" w:rsidP="000B77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rPr>
      <w:id w:val="84343485"/>
      <w:docPartObj>
        <w:docPartGallery w:val="Page Numbers (Top of Page)"/>
        <w:docPartUnique/>
      </w:docPartObj>
    </w:sdtPr>
    <w:sdtContent>
      <w:p w:rsidR="000B77F4" w:rsidRPr="00DA64DE" w:rsidRDefault="000B77F4" w:rsidP="000B77F4">
        <w:pPr>
          <w:pStyle w:val="Kopfzeile"/>
          <w:rPr>
            <w:rFonts w:asciiTheme="majorHAnsi" w:hAnsiTheme="majorHAnsi"/>
          </w:rPr>
        </w:pPr>
        <w:r w:rsidRPr="00DA64DE">
          <w:rPr>
            <w:rFonts w:asciiTheme="majorHAnsi" w:hAnsiTheme="majorHAnsi"/>
          </w:rPr>
          <w:t xml:space="preserve">V 1 – </w:t>
        </w:r>
        <w:proofErr w:type="spellStart"/>
        <w:r w:rsidRPr="00DA64DE">
          <w:rPr>
            <w:rFonts w:asciiTheme="majorHAnsi" w:hAnsiTheme="majorHAnsi"/>
          </w:rPr>
          <w:t>Hydroxycarbonsäuren</w:t>
        </w:r>
        <w:proofErr w:type="spellEnd"/>
        <w:r w:rsidRPr="00DA64DE">
          <w:rPr>
            <w:rFonts w:asciiTheme="majorHAnsi" w:hAnsiTheme="majorHAnsi"/>
          </w:rPr>
          <w:t xml:space="preserve"> in Lebensmitteln</w:t>
        </w:r>
        <w:r w:rsidRPr="00DA64DE">
          <w:rPr>
            <w:rFonts w:asciiTheme="majorHAnsi" w:hAnsiTheme="majorHAnsi"/>
          </w:rPr>
          <w:tab/>
        </w:r>
        <w:r w:rsidRPr="00DA64DE">
          <w:rPr>
            <w:rFonts w:asciiTheme="majorHAnsi" w:hAnsiTheme="majorHAnsi"/>
          </w:rPr>
          <w:tab/>
          <w:t xml:space="preserve"> </w:t>
        </w:r>
        <w:r w:rsidR="00F4001C" w:rsidRPr="00DA64DE">
          <w:rPr>
            <w:rFonts w:asciiTheme="majorHAnsi" w:hAnsiTheme="majorHAnsi"/>
          </w:rPr>
          <w:fldChar w:fldCharType="begin"/>
        </w:r>
        <w:r w:rsidR="00F4001C" w:rsidRPr="00DA64DE">
          <w:rPr>
            <w:rFonts w:asciiTheme="majorHAnsi" w:hAnsiTheme="majorHAnsi"/>
          </w:rPr>
          <w:instrText xml:space="preserve"> PAGE   \* MERGEFORMAT </w:instrText>
        </w:r>
        <w:r w:rsidR="00F4001C" w:rsidRPr="00DA64DE">
          <w:rPr>
            <w:rFonts w:asciiTheme="majorHAnsi" w:hAnsiTheme="majorHAnsi"/>
          </w:rPr>
          <w:fldChar w:fldCharType="separate"/>
        </w:r>
        <w:r w:rsidR="004E53D1">
          <w:rPr>
            <w:rFonts w:asciiTheme="majorHAnsi" w:hAnsiTheme="majorHAnsi"/>
            <w:noProof/>
          </w:rPr>
          <w:t>1</w:t>
        </w:r>
        <w:r w:rsidR="00F4001C" w:rsidRPr="00DA64DE">
          <w:rPr>
            <w:rFonts w:asciiTheme="majorHAnsi" w:hAnsiTheme="majorHAnsi"/>
          </w:rPr>
          <w:fldChar w:fldCharType="end"/>
        </w:r>
      </w:p>
    </w:sdtContent>
  </w:sdt>
  <w:p w:rsidR="000B77F4" w:rsidRPr="00DA64DE" w:rsidRDefault="00F4001C">
    <w:pPr>
      <w:pStyle w:val="Kopfzeile"/>
      <w:rPr>
        <w:rFonts w:asciiTheme="majorHAnsi" w:hAnsiTheme="majorHAnsi"/>
      </w:rPr>
    </w:pPr>
    <w:r w:rsidRPr="00DA64DE">
      <w:rPr>
        <w:rFonts w:asciiTheme="majorHAnsi" w:hAnsiTheme="majorHAnsi"/>
      </w:rPr>
      <w:pict>
        <v:shapetype id="_x0000_t32" coordsize="21600,21600" o:spt="32" o:oned="t" path="m,l21600,21600e" filled="f">
          <v:path arrowok="t" fillok="f" o:connecttype="none"/>
          <o:lock v:ext="edit" shapetype="t"/>
        </v:shapetype>
        <v:shape id="_x0000_s2050" type="#_x0000_t32" style="position:absolute;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377D4"/>
    <w:multiLevelType w:val="hybridMultilevel"/>
    <w:tmpl w:val="D18A4DA2"/>
    <w:lvl w:ilvl="0" w:tplc="976484A2">
      <w:start w:val="1"/>
      <w:numFmt w:val="decimal"/>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2"/>
      <o:rules v:ext="edit">
        <o:r id="V:Rule2" type="connector" idref="#_x0000_s2050"/>
      </o:rules>
    </o:shapelayout>
  </w:hdrShapeDefaults>
  <w:footnotePr>
    <w:footnote w:id="-1"/>
    <w:footnote w:id="0"/>
  </w:footnotePr>
  <w:endnotePr>
    <w:endnote w:id="-1"/>
    <w:endnote w:id="0"/>
  </w:endnotePr>
  <w:compat/>
  <w:rsids>
    <w:rsidRoot w:val="000B77F4"/>
    <w:rsid w:val="000B77F4"/>
    <w:rsid w:val="000F4CC9"/>
    <w:rsid w:val="001461C9"/>
    <w:rsid w:val="001A2281"/>
    <w:rsid w:val="004E53D1"/>
    <w:rsid w:val="005A32BD"/>
    <w:rsid w:val="006C32AC"/>
    <w:rsid w:val="008F1F3C"/>
    <w:rsid w:val="009C761D"/>
    <w:rsid w:val="00BC0D66"/>
    <w:rsid w:val="00DA64DE"/>
    <w:rsid w:val="00F4001C"/>
    <w:rsid w:val="00F853B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2281"/>
  </w:style>
  <w:style w:type="paragraph" w:styleId="berschrift1">
    <w:name w:val="heading 1"/>
    <w:basedOn w:val="Standard"/>
    <w:next w:val="Standard"/>
    <w:link w:val="berschrift1Zchn"/>
    <w:uiPriority w:val="9"/>
    <w:rsid w:val="00F853BB"/>
    <w:pPr>
      <w:keepNext/>
      <w:outlineLvl w:val="0"/>
    </w:pPr>
    <w:rPr>
      <w:rFonts w:ascii="Arial" w:eastAsiaTheme="majorEastAsia" w:hAnsi="Arial" w:cstheme="majorBidi"/>
      <w:b/>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53BB"/>
    <w:rPr>
      <w:rFonts w:ascii="Arial" w:eastAsiaTheme="majorEastAsia" w:hAnsi="Arial" w:cstheme="majorBidi"/>
      <w:b/>
      <w:bCs/>
      <w:kern w:val="32"/>
      <w:sz w:val="22"/>
      <w:szCs w:val="32"/>
      <w:lang w:eastAsia="en-US"/>
    </w:rPr>
  </w:style>
  <w:style w:type="table" w:styleId="Tabellengitternetz">
    <w:name w:val="Table Grid"/>
    <w:basedOn w:val="NormaleTabelle"/>
    <w:uiPriority w:val="59"/>
    <w:rsid w:val="000B77F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0B77F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77F4"/>
    <w:rPr>
      <w:rFonts w:ascii="Tahoma" w:hAnsi="Tahoma" w:cs="Tahoma"/>
      <w:sz w:val="16"/>
      <w:szCs w:val="16"/>
    </w:rPr>
  </w:style>
  <w:style w:type="paragraph" w:styleId="Kopfzeile">
    <w:name w:val="header"/>
    <w:basedOn w:val="Standard"/>
    <w:link w:val="KopfzeileZchn"/>
    <w:uiPriority w:val="99"/>
    <w:semiHidden/>
    <w:unhideWhenUsed/>
    <w:rsid w:val="000B77F4"/>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0B77F4"/>
  </w:style>
  <w:style w:type="paragraph" w:styleId="Fuzeile">
    <w:name w:val="footer"/>
    <w:basedOn w:val="Standard"/>
    <w:link w:val="FuzeileZchn"/>
    <w:uiPriority w:val="99"/>
    <w:semiHidden/>
    <w:unhideWhenUsed/>
    <w:rsid w:val="000B77F4"/>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0B77F4"/>
  </w:style>
  <w:style w:type="character" w:styleId="Hyperlink">
    <w:name w:val="Hyperlink"/>
    <w:basedOn w:val="Absatz-Standardschriftart"/>
    <w:uiPriority w:val="99"/>
    <w:unhideWhenUsed/>
    <w:rsid w:val="004E53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1458</Characters>
  <Application>Microsoft Office Word</Application>
  <DocSecurity>0</DocSecurity>
  <Lines>12</Lines>
  <Paragraphs>3</Paragraphs>
  <ScaleCrop>false</ScaleCrop>
  <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2013-08-12T15:28:00Z</dcterms:created>
  <dcterms:modified xsi:type="dcterms:W3CDTF">2013-08-12T15:58:00Z</dcterms:modified>
</cp:coreProperties>
</file>