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77" w:rsidRPr="00F136F3" w:rsidRDefault="00475B77" w:rsidP="00F136F3">
      <w:pPr>
        <w:jc w:val="both"/>
        <w:rPr>
          <w:rFonts w:asciiTheme="majorHAnsi" w:hAnsiTheme="majorHAnsi"/>
          <w:b/>
          <w:bCs/>
        </w:rPr>
      </w:pPr>
      <w:bookmarkStart w:id="0" w:name="_Toc364088937"/>
      <w:r w:rsidRPr="00F136F3">
        <w:rPr>
          <w:rFonts w:asciiTheme="majorHAnsi" w:hAnsiTheme="majorHAnsi"/>
          <w:b/>
          <w:bCs/>
        </w:rPr>
        <w:t>V 4 – Aspirin</w:t>
      </w:r>
      <w:r w:rsidR="00984870" w:rsidRPr="00F136F3">
        <w:rPr>
          <w:rFonts w:asciiTheme="majorHAnsi" w:hAnsiTheme="majorHAnsi"/>
          <w:b/>
          <w:bCs/>
        </w:rPr>
        <w:t>®</w:t>
      </w:r>
      <w:r w:rsidRPr="00F136F3">
        <w:rPr>
          <w:rFonts w:asciiTheme="majorHAnsi" w:hAnsiTheme="majorHAnsi"/>
          <w:b/>
          <w:bCs/>
        </w:rPr>
        <w:t xml:space="preserve"> selbst herstellen</w:t>
      </w:r>
      <w:bookmarkEnd w:id="0"/>
    </w:p>
    <w:p w:rsidR="00475B77" w:rsidRPr="00F136F3" w:rsidRDefault="008650FA" w:rsidP="00F136F3">
      <w:pPr>
        <w:jc w:val="both"/>
        <w:rPr>
          <w:rFonts w:asciiTheme="majorHAnsi" w:hAnsiTheme="majorHAnsi"/>
        </w:rPr>
      </w:pPr>
      <w:r w:rsidRPr="008650FA">
        <w:rPr>
          <w:rFonts w:asciiTheme="majorHAnsi" w:hAnsiTheme="majorHAnsi"/>
          <w:b/>
          <w:bCs/>
        </w:rPr>
        <w:pict>
          <v:shapetype id="_x0000_t202" coordsize="21600,21600" o:spt="202" path="m,l,21600r21600,l21600,xe">
            <v:stroke joinstyle="miter"/>
            <v:path gradientshapeok="t" o:connecttype="rect"/>
          </v:shapetype>
          <v:shape id="_x0000_s1060" type="#_x0000_t202" style="position:absolute;left:0;text-align:left;margin-left:-10.55pt;margin-top:10.45pt;width:462.45pt;height:82.25pt;z-index:251660288;mso-width-relative:margin;mso-height-relative:margin" fillcolor="white [3201]" strokecolor="#4bacc6 [3208]" strokeweight="1pt">
            <v:stroke dashstyle="dash"/>
            <v:shadow color="#868686"/>
            <v:textbox style="mso-next-textbox:#_x0000_s1060">
              <w:txbxContent>
                <w:p w:rsidR="00475B77" w:rsidRPr="00F136F3" w:rsidRDefault="00475B77" w:rsidP="00F136F3">
                  <w:pPr>
                    <w:jc w:val="both"/>
                    <w:rPr>
                      <w:rFonts w:asciiTheme="majorHAnsi" w:hAnsiTheme="majorHAnsi"/>
                    </w:rPr>
                  </w:pPr>
                  <w:r w:rsidRPr="00F136F3">
                    <w:rPr>
                      <w:rFonts w:asciiTheme="majorHAnsi" w:hAnsiTheme="majorHAnsi"/>
                    </w:rPr>
                    <w:t>In diesem Versuch kann Aspirin</w:t>
                  </w:r>
                  <w:r w:rsidRPr="00F136F3">
                    <w:rPr>
                      <w:rFonts w:asciiTheme="majorHAnsi" w:hAnsiTheme="majorHAnsi"/>
                      <w:vertAlign w:val="superscript"/>
                    </w:rPr>
                    <w:t>®</w:t>
                  </w:r>
                  <w:r w:rsidRPr="00F136F3">
                    <w:rPr>
                      <w:rFonts w:asciiTheme="majorHAnsi" w:hAnsiTheme="majorHAnsi"/>
                    </w:rPr>
                    <w:t xml:space="preserve"> mit leichten Mitteln und innerhalb einer Schulstunde hergestellt werden.</w:t>
                  </w:r>
                </w:p>
                <w:p w:rsidR="00475B77" w:rsidRPr="00F136F3" w:rsidRDefault="00475B77" w:rsidP="00F136F3">
                  <w:pPr>
                    <w:jc w:val="both"/>
                    <w:rPr>
                      <w:rFonts w:asciiTheme="majorHAnsi" w:hAnsiTheme="majorHAnsi"/>
                    </w:rPr>
                  </w:pPr>
                  <w:r w:rsidRPr="00F136F3">
                    <w:rPr>
                      <w:rFonts w:asciiTheme="majorHAnsi" w:hAnsiTheme="majorHAnsi"/>
                    </w:rPr>
                    <w:t xml:space="preserve">Sind im Vorfeld schon Reaktionsmechanismen wie der </w:t>
                  </w:r>
                  <w:proofErr w:type="spellStart"/>
                  <w:r w:rsidRPr="00F136F3">
                    <w:rPr>
                      <w:rFonts w:asciiTheme="majorHAnsi" w:hAnsiTheme="majorHAnsi"/>
                    </w:rPr>
                    <w:t>nucleophile</w:t>
                  </w:r>
                  <w:proofErr w:type="spellEnd"/>
                  <w:r w:rsidRPr="00F136F3">
                    <w:rPr>
                      <w:rFonts w:asciiTheme="majorHAnsi" w:hAnsiTheme="majorHAnsi"/>
                    </w:rPr>
                    <w:t xml:space="preserve"> Angriff oder die </w:t>
                  </w:r>
                  <w:proofErr w:type="spellStart"/>
                  <w:r w:rsidRPr="00F136F3">
                    <w:rPr>
                      <w:rFonts w:asciiTheme="majorHAnsi" w:hAnsiTheme="majorHAnsi"/>
                    </w:rPr>
                    <w:t>Acetylierung</w:t>
                  </w:r>
                  <w:proofErr w:type="spellEnd"/>
                  <w:r w:rsidRPr="00F136F3">
                    <w:rPr>
                      <w:rFonts w:asciiTheme="majorHAnsi" w:hAnsiTheme="majorHAnsi"/>
                    </w:rPr>
                    <w:t xml:space="preserve"> behandelt worden, kann dies als Vorwissen in der Deutung mit einfließen.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75B77" w:rsidRPr="00F136F3" w:rsidTr="00AF3449">
        <w:tc>
          <w:tcPr>
            <w:tcW w:w="9322" w:type="dxa"/>
            <w:gridSpan w:val="9"/>
            <w:shd w:val="clear" w:color="auto" w:fill="4F81BD"/>
            <w:vAlign w:val="center"/>
          </w:tcPr>
          <w:p w:rsidR="00475B77" w:rsidRPr="00F136F3" w:rsidRDefault="00475B77" w:rsidP="00F136F3">
            <w:pPr>
              <w:jc w:val="both"/>
              <w:rPr>
                <w:rFonts w:asciiTheme="majorHAnsi" w:hAnsiTheme="majorHAnsi"/>
                <w:b/>
                <w:bCs/>
              </w:rPr>
            </w:pPr>
            <w:r w:rsidRPr="00F136F3">
              <w:rPr>
                <w:rFonts w:asciiTheme="majorHAnsi" w:hAnsiTheme="majorHAnsi"/>
                <w:b/>
                <w:bCs/>
              </w:rPr>
              <w:t>Gefahrenstoffe</w:t>
            </w:r>
          </w:p>
        </w:tc>
      </w:tr>
      <w:tr w:rsidR="00475B77" w:rsidRPr="00F136F3"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b/>
                <w:bCs/>
              </w:rPr>
            </w:pPr>
            <w:proofErr w:type="spellStart"/>
            <w:r w:rsidRPr="00F136F3">
              <w:rPr>
                <w:rFonts w:asciiTheme="majorHAnsi" w:hAnsiTheme="majorHAnsi"/>
              </w:rPr>
              <w:t>Salicylsäure</w:t>
            </w:r>
            <w:proofErr w:type="spellEnd"/>
          </w:p>
        </w:tc>
        <w:tc>
          <w:tcPr>
            <w:tcW w:w="3177" w:type="dxa"/>
            <w:gridSpan w:val="3"/>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H: 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P: 305+351+338, 313</w:t>
            </w:r>
          </w:p>
        </w:tc>
      </w:tr>
      <w:tr w:rsidR="00475B77" w:rsidRPr="00F136F3"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Essigsäureanhydrid</w:t>
            </w:r>
          </w:p>
        </w:tc>
        <w:tc>
          <w:tcPr>
            <w:tcW w:w="3177" w:type="dxa"/>
            <w:gridSpan w:val="3"/>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H: 226, 332, 302, 314,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P: 280, 301+330+331, 305+351+338, 309+310</w:t>
            </w:r>
          </w:p>
        </w:tc>
      </w:tr>
      <w:tr w:rsidR="00475B77" w:rsidRPr="00F136F3"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proofErr w:type="spellStart"/>
            <w:r w:rsidRPr="00F136F3">
              <w:rPr>
                <w:rFonts w:asciiTheme="majorHAnsi" w:hAnsiTheme="majorHAnsi"/>
              </w:rPr>
              <w:t>Konz</w:t>
            </w:r>
            <w:proofErr w:type="spellEnd"/>
            <w:r w:rsidRPr="00F136F3">
              <w:rPr>
                <w:rFonts w:asciiTheme="majorHAnsi" w:hAnsiTheme="majorHAnsi"/>
              </w:rPr>
              <w:t>. Schwefelsäure</w:t>
            </w:r>
          </w:p>
        </w:tc>
        <w:tc>
          <w:tcPr>
            <w:tcW w:w="3177" w:type="dxa"/>
            <w:gridSpan w:val="3"/>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rPr>
              <w:t>P: 280, 301+330+331, 305+351+338, 309+310</w:t>
            </w:r>
          </w:p>
        </w:tc>
      </w:tr>
      <w:tr w:rsidR="00475B77" w:rsidRPr="00F136F3" w:rsidTr="00AF3449">
        <w:tc>
          <w:tcPr>
            <w:tcW w:w="1009" w:type="dxa"/>
            <w:tcBorders>
              <w:top w:val="single" w:sz="8" w:space="0" w:color="4F81BD"/>
              <w:left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b/>
                <w:bCs/>
              </w:rPr>
            </w:pPr>
            <w:r w:rsidRPr="00F136F3">
              <w:rPr>
                <w:rFonts w:asciiTheme="majorHAnsi" w:hAnsiTheme="majorHAnsi"/>
                <w:b/>
                <w:noProof/>
                <w:lang w:eastAsia="de-DE"/>
              </w:rPr>
              <w:drawing>
                <wp:inline distT="0" distB="0" distL="0" distR="0">
                  <wp:extent cx="538061" cy="540000"/>
                  <wp:effectExtent l="0" t="0" r="0" b="0"/>
                  <wp:docPr id="106"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8321" cy="540000"/>
                  <wp:effectExtent l="0" t="0" r="0" b="0"/>
                  <wp:docPr id="107"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40000" cy="551986"/>
                  <wp:effectExtent l="19050" t="0" r="0" b="0"/>
                  <wp:docPr id="108"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8320" cy="540000"/>
                  <wp:effectExtent l="0" t="0" r="0" b="0"/>
                  <wp:docPr id="109"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8321" cy="540000"/>
                  <wp:effectExtent l="0" t="0" r="0" b="0"/>
                  <wp:docPr id="110"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9491" cy="540000"/>
                  <wp:effectExtent l="0" t="0" r="0" b="0"/>
                  <wp:docPr id="111"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9491" cy="540000"/>
                  <wp:effectExtent l="0" t="0" r="0" b="0"/>
                  <wp:docPr id="112"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9999" cy="540000"/>
                  <wp:effectExtent l="0" t="0" r="0" b="0"/>
                  <wp:docPr id="11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75B77" w:rsidRPr="00F136F3" w:rsidRDefault="00475B77" w:rsidP="00F136F3">
            <w:pPr>
              <w:jc w:val="both"/>
              <w:rPr>
                <w:rFonts w:asciiTheme="majorHAnsi" w:hAnsiTheme="majorHAnsi"/>
              </w:rPr>
            </w:pPr>
            <w:r w:rsidRPr="00F136F3">
              <w:rPr>
                <w:rFonts w:asciiTheme="majorHAnsi" w:hAnsiTheme="majorHAnsi"/>
                <w:noProof/>
                <w:lang w:eastAsia="de-DE"/>
              </w:rPr>
              <w:drawing>
                <wp:inline distT="0" distB="0" distL="0" distR="0">
                  <wp:extent cx="539491" cy="540000"/>
                  <wp:effectExtent l="0" t="0" r="0" b="0"/>
                  <wp:docPr id="114"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475B77" w:rsidRPr="00F136F3" w:rsidRDefault="00475B77" w:rsidP="00F136F3">
      <w:pPr>
        <w:jc w:val="both"/>
        <w:rPr>
          <w:rFonts w:asciiTheme="majorHAnsi" w:hAnsiTheme="majorHAnsi"/>
        </w:rPr>
      </w:pPr>
    </w:p>
    <w:p w:rsidR="00475B77" w:rsidRPr="00F136F3" w:rsidRDefault="00475B77" w:rsidP="00F136F3">
      <w:pPr>
        <w:jc w:val="both"/>
        <w:rPr>
          <w:rFonts w:asciiTheme="majorHAnsi" w:hAnsiTheme="majorHAnsi"/>
        </w:rPr>
      </w:pPr>
      <w:r w:rsidRPr="00F136F3">
        <w:rPr>
          <w:rFonts w:asciiTheme="majorHAnsi" w:hAnsiTheme="majorHAnsi"/>
        </w:rPr>
        <w:t xml:space="preserve">Materialien: </w:t>
      </w:r>
      <w:r w:rsidRPr="00F136F3">
        <w:rPr>
          <w:rFonts w:asciiTheme="majorHAnsi" w:hAnsiTheme="majorHAnsi"/>
        </w:rPr>
        <w:tab/>
        <w:t xml:space="preserve">Eiswasser, Pipette, Spatel, </w:t>
      </w:r>
      <w:proofErr w:type="spellStart"/>
      <w:r w:rsidRPr="00F136F3">
        <w:rPr>
          <w:rFonts w:asciiTheme="majorHAnsi" w:hAnsiTheme="majorHAnsi"/>
        </w:rPr>
        <w:t>Glasstab</w:t>
      </w:r>
      <w:proofErr w:type="spellEnd"/>
      <w:r w:rsidRPr="00F136F3">
        <w:rPr>
          <w:rFonts w:asciiTheme="majorHAnsi" w:hAnsiTheme="majorHAnsi"/>
        </w:rPr>
        <w:t xml:space="preserve">, </w:t>
      </w:r>
      <w:proofErr w:type="spellStart"/>
      <w:r w:rsidRPr="00F136F3">
        <w:rPr>
          <w:rFonts w:asciiTheme="majorHAnsi" w:hAnsiTheme="majorHAnsi"/>
        </w:rPr>
        <w:t>Magnetrührer</w:t>
      </w:r>
      <w:proofErr w:type="spellEnd"/>
      <w:r w:rsidRPr="00F136F3">
        <w:rPr>
          <w:rFonts w:asciiTheme="majorHAnsi" w:hAnsiTheme="majorHAnsi"/>
        </w:rPr>
        <w:t xml:space="preserve">, </w:t>
      </w:r>
      <w:proofErr w:type="spellStart"/>
      <w:r w:rsidRPr="00F136F3">
        <w:rPr>
          <w:rFonts w:asciiTheme="majorHAnsi" w:hAnsiTheme="majorHAnsi"/>
        </w:rPr>
        <w:t>Erlenmeyerkolben</w:t>
      </w:r>
      <w:proofErr w:type="spellEnd"/>
      <w:r w:rsidRPr="00F136F3">
        <w:rPr>
          <w:rFonts w:asciiTheme="majorHAnsi" w:hAnsiTheme="majorHAnsi"/>
        </w:rPr>
        <w:t>, Bechergläser, Nutsche</w:t>
      </w:r>
    </w:p>
    <w:p w:rsidR="00475B77" w:rsidRPr="00F136F3" w:rsidRDefault="00475B77" w:rsidP="00F136F3">
      <w:pPr>
        <w:jc w:val="both"/>
        <w:rPr>
          <w:rFonts w:asciiTheme="majorHAnsi" w:hAnsiTheme="majorHAnsi"/>
        </w:rPr>
      </w:pPr>
    </w:p>
    <w:p w:rsidR="00475B77" w:rsidRPr="00F136F3" w:rsidRDefault="00475B77" w:rsidP="00F136F3">
      <w:pPr>
        <w:jc w:val="both"/>
        <w:rPr>
          <w:rFonts w:asciiTheme="majorHAnsi" w:hAnsiTheme="majorHAnsi"/>
        </w:rPr>
      </w:pPr>
      <w:r w:rsidRPr="00F136F3">
        <w:rPr>
          <w:rFonts w:asciiTheme="majorHAnsi" w:hAnsiTheme="majorHAnsi"/>
        </w:rPr>
        <w:t>Chemikalien:</w:t>
      </w:r>
      <w:r w:rsidRPr="00F136F3">
        <w:rPr>
          <w:rFonts w:asciiTheme="majorHAnsi" w:hAnsiTheme="majorHAnsi"/>
        </w:rPr>
        <w:tab/>
      </w:r>
      <w:proofErr w:type="spellStart"/>
      <w:r w:rsidRPr="00F136F3">
        <w:rPr>
          <w:rFonts w:asciiTheme="majorHAnsi" w:hAnsiTheme="majorHAnsi"/>
        </w:rPr>
        <w:t>Salicylsäure</w:t>
      </w:r>
      <w:proofErr w:type="spellEnd"/>
      <w:r w:rsidRPr="00F136F3">
        <w:rPr>
          <w:rFonts w:asciiTheme="majorHAnsi" w:hAnsiTheme="majorHAnsi"/>
        </w:rPr>
        <w:t xml:space="preserve">, Essigsäureanhydrid, </w:t>
      </w:r>
      <w:proofErr w:type="spellStart"/>
      <w:r w:rsidRPr="00F136F3">
        <w:rPr>
          <w:rFonts w:asciiTheme="majorHAnsi" w:hAnsiTheme="majorHAnsi"/>
        </w:rPr>
        <w:t>Konz</w:t>
      </w:r>
      <w:proofErr w:type="spellEnd"/>
      <w:r w:rsidRPr="00F136F3">
        <w:rPr>
          <w:rFonts w:asciiTheme="majorHAnsi" w:hAnsiTheme="majorHAnsi"/>
        </w:rPr>
        <w:t>. Schwefelsäure</w:t>
      </w:r>
    </w:p>
    <w:p w:rsidR="00475B77" w:rsidRPr="00F136F3" w:rsidRDefault="00475B77" w:rsidP="00F136F3">
      <w:pPr>
        <w:jc w:val="both"/>
        <w:rPr>
          <w:rFonts w:asciiTheme="majorHAnsi" w:hAnsiTheme="majorHAnsi"/>
        </w:rPr>
      </w:pPr>
    </w:p>
    <w:p w:rsidR="00475B77" w:rsidRPr="00F136F3" w:rsidRDefault="00475B77" w:rsidP="00F136F3">
      <w:pPr>
        <w:ind w:left="1410" w:hanging="1410"/>
        <w:jc w:val="both"/>
        <w:rPr>
          <w:rFonts w:asciiTheme="majorHAnsi" w:hAnsiTheme="majorHAnsi"/>
        </w:rPr>
      </w:pPr>
      <w:r w:rsidRPr="00F136F3">
        <w:rPr>
          <w:rFonts w:asciiTheme="majorHAnsi" w:hAnsiTheme="majorHAnsi"/>
        </w:rPr>
        <w:t>Durchführung:</w:t>
      </w:r>
      <w:r w:rsidRPr="00F136F3">
        <w:rPr>
          <w:rFonts w:asciiTheme="majorHAnsi" w:hAnsiTheme="majorHAnsi"/>
        </w:rPr>
        <w:tab/>
        <w:t xml:space="preserve">100 g </w:t>
      </w:r>
      <w:proofErr w:type="spellStart"/>
      <w:r w:rsidRPr="00F136F3">
        <w:rPr>
          <w:rFonts w:asciiTheme="majorHAnsi" w:hAnsiTheme="majorHAnsi"/>
        </w:rPr>
        <w:t>Salicylsäure</w:t>
      </w:r>
      <w:proofErr w:type="spellEnd"/>
      <w:r w:rsidRPr="00F136F3">
        <w:rPr>
          <w:rFonts w:asciiTheme="majorHAnsi" w:hAnsiTheme="majorHAnsi"/>
        </w:rPr>
        <w:t xml:space="preserve">, 10 </w:t>
      </w:r>
      <w:proofErr w:type="spellStart"/>
      <w:r w:rsidRPr="00F136F3">
        <w:rPr>
          <w:rFonts w:asciiTheme="majorHAnsi" w:hAnsiTheme="majorHAnsi"/>
        </w:rPr>
        <w:t>mL</w:t>
      </w:r>
      <w:proofErr w:type="spellEnd"/>
      <w:r w:rsidRPr="00F136F3">
        <w:rPr>
          <w:rFonts w:asciiTheme="majorHAnsi" w:hAnsiTheme="majorHAnsi"/>
        </w:rPr>
        <w:t xml:space="preserve"> Essigsäureanhydrid und 2 Tropfen </w:t>
      </w:r>
      <w:proofErr w:type="spellStart"/>
      <w:r w:rsidRPr="00F136F3">
        <w:rPr>
          <w:rFonts w:asciiTheme="majorHAnsi" w:hAnsiTheme="majorHAnsi"/>
        </w:rPr>
        <w:t>konz</w:t>
      </w:r>
      <w:proofErr w:type="spellEnd"/>
      <w:r w:rsidRPr="00F136F3">
        <w:rPr>
          <w:rFonts w:asciiTheme="majorHAnsi" w:hAnsiTheme="majorHAnsi"/>
        </w:rPr>
        <w:t xml:space="preserve">. </w:t>
      </w:r>
      <w:proofErr w:type="gramStart"/>
      <w:r w:rsidRPr="00F136F3">
        <w:rPr>
          <w:rFonts w:asciiTheme="majorHAnsi" w:hAnsiTheme="majorHAnsi"/>
        </w:rPr>
        <w:t>Schwefelsäure</w:t>
      </w:r>
      <w:proofErr w:type="gramEnd"/>
      <w:r w:rsidRPr="00F136F3">
        <w:rPr>
          <w:rFonts w:asciiTheme="majorHAnsi" w:hAnsiTheme="majorHAnsi"/>
        </w:rPr>
        <w:t xml:space="preserve"> werden in einen </w:t>
      </w:r>
      <w:proofErr w:type="spellStart"/>
      <w:r w:rsidRPr="00F136F3">
        <w:rPr>
          <w:rFonts w:asciiTheme="majorHAnsi" w:hAnsiTheme="majorHAnsi"/>
        </w:rPr>
        <w:t>Erlenmeyerkolben</w:t>
      </w:r>
      <w:proofErr w:type="spellEnd"/>
      <w:r w:rsidRPr="00F136F3">
        <w:rPr>
          <w:rFonts w:asciiTheme="majorHAnsi" w:hAnsiTheme="majorHAnsi"/>
        </w:rPr>
        <w:t xml:space="preserve"> gegeben. Das Gemisch wird unter Rühren mit dem </w:t>
      </w:r>
      <w:proofErr w:type="spellStart"/>
      <w:r w:rsidRPr="00F136F3">
        <w:rPr>
          <w:rFonts w:asciiTheme="majorHAnsi" w:hAnsiTheme="majorHAnsi"/>
        </w:rPr>
        <w:t>Glasstab</w:t>
      </w:r>
      <w:proofErr w:type="spellEnd"/>
      <w:r w:rsidRPr="00F136F3">
        <w:rPr>
          <w:rFonts w:asciiTheme="majorHAnsi" w:hAnsiTheme="majorHAnsi"/>
        </w:rPr>
        <w:t xml:space="preserve"> ca. 10 min in einem Wasserbad auf dem </w:t>
      </w:r>
      <w:proofErr w:type="spellStart"/>
      <w:r w:rsidRPr="00F136F3">
        <w:rPr>
          <w:rFonts w:asciiTheme="majorHAnsi" w:hAnsiTheme="majorHAnsi"/>
        </w:rPr>
        <w:t>Magnetrührer</w:t>
      </w:r>
      <w:proofErr w:type="spellEnd"/>
      <w:r w:rsidRPr="00F136F3">
        <w:rPr>
          <w:rFonts w:asciiTheme="majorHAnsi" w:hAnsiTheme="majorHAnsi"/>
        </w:rPr>
        <w:t xml:space="preserve"> bis auf 60 °C erwärmt (Aufbau: siehe Abb. 4). Entsteht eine klare Flüssigkeit, wird die Temperatur für 5 min auf ca. 80 – 90 °C erwärmt, bis sich das Reaktionsgemisch wieder trübt. Anschließend wird das Gemisch für eine Minute in Eiswasser gestellt, bis die </w:t>
      </w:r>
      <w:proofErr w:type="spellStart"/>
      <w:r w:rsidRPr="00F136F3">
        <w:rPr>
          <w:rFonts w:asciiTheme="majorHAnsi" w:hAnsiTheme="majorHAnsi"/>
        </w:rPr>
        <w:t>Acetylsalicylsäure</w:t>
      </w:r>
      <w:proofErr w:type="spellEnd"/>
      <w:r w:rsidRPr="00F136F3">
        <w:rPr>
          <w:rFonts w:asciiTheme="majorHAnsi" w:hAnsiTheme="majorHAnsi"/>
        </w:rPr>
        <w:t xml:space="preserve"> auskristallisiert. Das Produkt wird zum Schluss über die Nutsche mit Eiswasser gewaschen.</w:t>
      </w:r>
    </w:p>
    <w:p w:rsidR="00475B77" w:rsidRPr="00F136F3" w:rsidRDefault="00475B77" w:rsidP="00F136F3">
      <w:pPr>
        <w:jc w:val="both"/>
        <w:rPr>
          <w:rFonts w:asciiTheme="majorHAnsi" w:hAnsiTheme="majorHAnsi"/>
        </w:rPr>
      </w:pPr>
    </w:p>
    <w:p w:rsidR="00475B77" w:rsidRPr="00F136F3" w:rsidRDefault="00475B77" w:rsidP="00F136F3">
      <w:pPr>
        <w:ind w:left="1410" w:hanging="1410"/>
        <w:jc w:val="both"/>
        <w:rPr>
          <w:rFonts w:asciiTheme="majorHAnsi" w:hAnsiTheme="majorHAnsi"/>
        </w:rPr>
      </w:pPr>
      <w:r w:rsidRPr="00F136F3">
        <w:rPr>
          <w:rFonts w:asciiTheme="majorHAnsi" w:hAnsiTheme="majorHAnsi"/>
        </w:rPr>
        <w:t>Beobachtung:</w:t>
      </w:r>
      <w:r w:rsidRPr="00F136F3">
        <w:rPr>
          <w:rFonts w:asciiTheme="majorHAnsi" w:hAnsiTheme="majorHAnsi"/>
        </w:rPr>
        <w:tab/>
        <w:t>Das Gemisch verflüssigt sich bei 60 °C zu einer klaren Flüssigkeit und wird bei 80 – 90 °C wieder trüb. Im Eiswasser kristallisiert das Gemisch aus.</w:t>
      </w:r>
    </w:p>
    <w:p w:rsidR="00475B77" w:rsidRPr="00F136F3" w:rsidRDefault="00475B77" w:rsidP="00F136F3">
      <w:pPr>
        <w:jc w:val="both"/>
        <w:rPr>
          <w:rFonts w:asciiTheme="majorHAnsi" w:hAnsiTheme="majorHAnsi"/>
        </w:rPr>
      </w:pPr>
    </w:p>
    <w:p w:rsidR="00475B77" w:rsidRPr="00F136F3" w:rsidRDefault="00475B77" w:rsidP="00F136F3">
      <w:pPr>
        <w:jc w:val="both"/>
        <w:rPr>
          <w:rFonts w:asciiTheme="majorHAnsi" w:hAnsiTheme="majorHAnsi"/>
        </w:rPr>
      </w:pPr>
    </w:p>
    <w:p w:rsidR="00475B77" w:rsidRPr="00F136F3" w:rsidRDefault="00475B77" w:rsidP="00F136F3">
      <w:pPr>
        <w:jc w:val="both"/>
        <w:rPr>
          <w:rFonts w:asciiTheme="majorHAnsi" w:hAnsiTheme="majorHAnsi"/>
          <w:bCs/>
        </w:rPr>
      </w:pPr>
      <w:r w:rsidRPr="00F136F3">
        <w:rPr>
          <w:rFonts w:asciiTheme="majorHAnsi" w:hAnsiTheme="majorHAnsi"/>
          <w:bCs/>
          <w:noProof/>
          <w:lang w:eastAsia="de-DE"/>
        </w:rPr>
        <w:lastRenderedPageBreak/>
        <w:drawing>
          <wp:inline distT="0" distB="0" distL="0" distR="0">
            <wp:extent cx="2508185" cy="3724275"/>
            <wp:effectExtent l="19050" t="0" r="6415" b="0"/>
            <wp:docPr id="115" name="Bild 36" descr="C:\Users\TOSHIBA\Desktop\SVP_Chemie\Carbonsäure\Bilder 11&amp;12\DSCF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OSHIBA\Desktop\SVP_Chemie\Carbonsäure\Bilder 11&amp;12\DSCF2714.JPG"/>
                    <pic:cNvPicPr>
                      <a:picLocks noChangeAspect="1" noChangeArrowheads="1"/>
                    </pic:cNvPicPr>
                  </pic:nvPicPr>
                  <pic:blipFill>
                    <a:blip r:embed="rId16" cstate="print"/>
                    <a:srcRect l="20991" t="21588" r="13554" b="5459"/>
                    <a:stretch>
                      <a:fillRect/>
                    </a:stretch>
                  </pic:blipFill>
                  <pic:spPr bwMode="auto">
                    <a:xfrm>
                      <a:off x="0" y="0"/>
                      <a:ext cx="2508185" cy="3724275"/>
                    </a:xfrm>
                    <a:prstGeom prst="rect">
                      <a:avLst/>
                    </a:prstGeom>
                    <a:noFill/>
                    <a:ln w="9525">
                      <a:noFill/>
                      <a:miter lim="800000"/>
                      <a:headEnd/>
                      <a:tailEnd/>
                    </a:ln>
                  </pic:spPr>
                </pic:pic>
              </a:graphicData>
            </a:graphic>
          </wp:inline>
        </w:drawing>
      </w:r>
    </w:p>
    <w:p w:rsidR="00475B77" w:rsidRPr="00F136F3" w:rsidRDefault="00475B77" w:rsidP="00F136F3">
      <w:pPr>
        <w:jc w:val="both"/>
        <w:rPr>
          <w:rFonts w:asciiTheme="majorHAnsi" w:hAnsiTheme="majorHAnsi"/>
          <w:bCs/>
          <w:vertAlign w:val="superscript"/>
        </w:rPr>
      </w:pPr>
      <w:proofErr w:type="spellStart"/>
      <w:r w:rsidRPr="00F136F3">
        <w:rPr>
          <w:rFonts w:asciiTheme="majorHAnsi" w:hAnsiTheme="majorHAnsi"/>
          <w:bCs/>
        </w:rPr>
        <w:t>Abb</w:t>
      </w:r>
      <w:proofErr w:type="spellEnd"/>
      <w:r w:rsidRPr="00F136F3">
        <w:rPr>
          <w:rFonts w:asciiTheme="majorHAnsi" w:hAnsiTheme="majorHAnsi"/>
          <w:bCs/>
        </w:rPr>
        <w:t xml:space="preserve"> </w:t>
      </w:r>
      <w:r w:rsidR="00E971ED">
        <w:rPr>
          <w:rFonts w:asciiTheme="majorHAnsi" w:hAnsiTheme="majorHAnsi"/>
          <w:bCs/>
        </w:rPr>
        <w:t>1</w:t>
      </w:r>
      <w:r w:rsidRPr="00F136F3">
        <w:rPr>
          <w:rFonts w:asciiTheme="majorHAnsi" w:hAnsiTheme="majorHAnsi"/>
          <w:bCs/>
        </w:rPr>
        <w:t>: Herstellung von Aspirin</w:t>
      </w:r>
      <w:r w:rsidRPr="00F136F3">
        <w:rPr>
          <w:rFonts w:asciiTheme="majorHAnsi" w:hAnsiTheme="majorHAnsi"/>
          <w:bCs/>
          <w:vertAlign w:val="superscript"/>
        </w:rPr>
        <w:t>®</w:t>
      </w:r>
    </w:p>
    <w:p w:rsidR="00475B77" w:rsidRPr="00F136F3" w:rsidRDefault="00475B77" w:rsidP="00F136F3">
      <w:pPr>
        <w:jc w:val="both"/>
        <w:rPr>
          <w:rFonts w:asciiTheme="majorHAnsi" w:hAnsiTheme="majorHAnsi"/>
          <w:bCs/>
        </w:rPr>
      </w:pPr>
    </w:p>
    <w:p w:rsidR="00475B77" w:rsidRPr="00F136F3" w:rsidRDefault="00475B77" w:rsidP="00F136F3">
      <w:pPr>
        <w:ind w:left="1410" w:hanging="1410"/>
        <w:jc w:val="both"/>
        <w:rPr>
          <w:rFonts w:asciiTheme="majorHAnsi" w:hAnsiTheme="majorHAnsi"/>
        </w:rPr>
      </w:pPr>
      <w:r w:rsidRPr="00F136F3">
        <w:rPr>
          <w:rFonts w:asciiTheme="majorHAnsi" w:hAnsiTheme="majorHAnsi"/>
        </w:rPr>
        <w:t>Deutung:</w:t>
      </w:r>
      <w:r w:rsidRPr="00F136F3">
        <w:rPr>
          <w:rFonts w:asciiTheme="majorHAnsi" w:hAnsiTheme="majorHAnsi"/>
        </w:rPr>
        <w:tab/>
        <w:t xml:space="preserve">In der Reaktion A) wird Essigsäureanhydrid </w:t>
      </w:r>
      <w:proofErr w:type="spellStart"/>
      <w:r w:rsidRPr="00F136F3">
        <w:rPr>
          <w:rFonts w:asciiTheme="majorHAnsi" w:hAnsiTheme="majorHAnsi"/>
        </w:rPr>
        <w:t>protoniert</w:t>
      </w:r>
      <w:proofErr w:type="spellEnd"/>
      <w:r w:rsidRPr="00F136F3">
        <w:rPr>
          <w:rFonts w:asciiTheme="majorHAnsi" w:hAnsiTheme="majorHAnsi"/>
        </w:rPr>
        <w:t xml:space="preserve">. In B) ist zu sehen, dass ein </w:t>
      </w:r>
      <w:proofErr w:type="spellStart"/>
      <w:r w:rsidRPr="00F136F3">
        <w:rPr>
          <w:rFonts w:asciiTheme="majorHAnsi" w:hAnsiTheme="majorHAnsi"/>
        </w:rPr>
        <w:t>nucleophiler</w:t>
      </w:r>
      <w:proofErr w:type="spellEnd"/>
      <w:r w:rsidRPr="00F136F3">
        <w:rPr>
          <w:rFonts w:asciiTheme="majorHAnsi" w:hAnsiTheme="majorHAnsi"/>
        </w:rPr>
        <w:t xml:space="preserve"> Angriff der </w:t>
      </w:r>
      <w:proofErr w:type="spellStart"/>
      <w:r w:rsidRPr="00F136F3">
        <w:rPr>
          <w:rFonts w:asciiTheme="majorHAnsi" w:hAnsiTheme="majorHAnsi"/>
        </w:rPr>
        <w:t>Hydroxygruppe</w:t>
      </w:r>
      <w:proofErr w:type="spellEnd"/>
      <w:r w:rsidRPr="00F136F3">
        <w:rPr>
          <w:rFonts w:asciiTheme="majorHAnsi" w:hAnsiTheme="majorHAnsi"/>
        </w:rPr>
        <w:t xml:space="preserve"> der </w:t>
      </w:r>
      <w:proofErr w:type="spellStart"/>
      <w:r w:rsidRPr="00F136F3">
        <w:rPr>
          <w:rFonts w:asciiTheme="majorHAnsi" w:hAnsiTheme="majorHAnsi"/>
        </w:rPr>
        <w:t>Salicylsäure</w:t>
      </w:r>
      <w:proofErr w:type="spellEnd"/>
      <w:r w:rsidRPr="00F136F3">
        <w:rPr>
          <w:rFonts w:asciiTheme="majorHAnsi" w:hAnsiTheme="majorHAnsi"/>
        </w:rPr>
        <w:t xml:space="preserve"> am </w:t>
      </w:r>
      <w:proofErr w:type="spellStart"/>
      <w:r w:rsidRPr="00F136F3">
        <w:rPr>
          <w:rFonts w:asciiTheme="majorHAnsi" w:hAnsiTheme="majorHAnsi"/>
        </w:rPr>
        <w:t>Carbokation</w:t>
      </w:r>
      <w:proofErr w:type="spellEnd"/>
      <w:r w:rsidRPr="00F136F3">
        <w:rPr>
          <w:rFonts w:asciiTheme="majorHAnsi" w:hAnsiTheme="majorHAnsi"/>
        </w:rPr>
        <w:t xml:space="preserve"> erfolgt. Dabei wird Essigsäure abgespalten. Im letzten Schritt wird ein Proton abgespalten und die </w:t>
      </w:r>
      <w:proofErr w:type="spellStart"/>
      <w:r w:rsidRPr="00F136F3">
        <w:rPr>
          <w:rFonts w:asciiTheme="majorHAnsi" w:hAnsiTheme="majorHAnsi"/>
        </w:rPr>
        <w:t>Acetylierung</w:t>
      </w:r>
      <w:proofErr w:type="spellEnd"/>
      <w:r w:rsidRPr="00F136F3">
        <w:rPr>
          <w:rFonts w:asciiTheme="majorHAnsi" w:hAnsiTheme="majorHAnsi"/>
        </w:rPr>
        <w:t xml:space="preserve"> ist abgeschlossen.</w:t>
      </w:r>
    </w:p>
    <w:p w:rsidR="00475B77" w:rsidRPr="00F136F3" w:rsidRDefault="00475B77" w:rsidP="00F136F3">
      <w:pPr>
        <w:jc w:val="both"/>
        <w:rPr>
          <w:rFonts w:asciiTheme="majorHAnsi" w:hAnsiTheme="majorHAnsi"/>
        </w:rPr>
      </w:pPr>
      <w:r w:rsidRPr="00F136F3">
        <w:rPr>
          <w:rFonts w:asciiTheme="majorHAnsi" w:hAnsiTheme="majorHAnsi"/>
        </w:rPr>
        <w:tab/>
      </w:r>
      <w:r w:rsidRPr="00F136F3">
        <w:rPr>
          <w:rFonts w:asciiTheme="majorHAnsi" w:hAnsiTheme="majorHAnsi"/>
        </w:rPr>
        <w:tab/>
        <w:t>Konzentrierte Schwefelsäure wirkt bei dieser Reaktion als Katalysator.</w:t>
      </w:r>
    </w:p>
    <w:p w:rsidR="00475B77" w:rsidRPr="00F136F3" w:rsidRDefault="00475B77" w:rsidP="00F136F3">
      <w:pPr>
        <w:ind w:left="708" w:firstLine="708"/>
        <w:jc w:val="both"/>
        <w:rPr>
          <w:rFonts w:asciiTheme="majorHAnsi" w:hAnsiTheme="majorHAnsi"/>
        </w:rPr>
      </w:pPr>
      <w:r w:rsidRPr="00F136F3">
        <w:rPr>
          <w:rFonts w:asciiTheme="majorHAnsi" w:hAnsiTheme="majorHAnsi"/>
          <w:noProof/>
          <w:lang w:eastAsia="de-DE"/>
        </w:rPr>
        <w:drawing>
          <wp:inline distT="0" distB="0" distL="0" distR="0">
            <wp:extent cx="4972050" cy="2798552"/>
            <wp:effectExtent l="0" t="0" r="0" b="0"/>
            <wp:docPr id="116" name="Bild 40" descr="ASS Synt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SS Synthese."/>
                    <pic:cNvPicPr>
                      <a:picLocks noChangeAspect="1" noChangeArrowheads="1"/>
                    </pic:cNvPicPr>
                  </pic:nvPicPr>
                  <pic:blipFill>
                    <a:blip r:embed="rId17" cstate="print"/>
                    <a:srcRect/>
                    <a:stretch>
                      <a:fillRect/>
                    </a:stretch>
                  </pic:blipFill>
                  <pic:spPr bwMode="auto">
                    <a:xfrm>
                      <a:off x="0" y="0"/>
                      <a:ext cx="4995782" cy="2811910"/>
                    </a:xfrm>
                    <a:prstGeom prst="rect">
                      <a:avLst/>
                    </a:prstGeom>
                    <a:noFill/>
                    <a:ln w="9525">
                      <a:noFill/>
                      <a:miter lim="800000"/>
                      <a:headEnd/>
                      <a:tailEnd/>
                    </a:ln>
                  </pic:spPr>
                </pic:pic>
              </a:graphicData>
            </a:graphic>
          </wp:inline>
        </w:drawing>
      </w:r>
    </w:p>
    <w:p w:rsidR="00475B77" w:rsidRPr="00F136F3" w:rsidRDefault="00475B77" w:rsidP="00F136F3">
      <w:pPr>
        <w:ind w:left="708" w:firstLine="708"/>
        <w:jc w:val="both"/>
        <w:rPr>
          <w:rFonts w:asciiTheme="majorHAnsi" w:hAnsiTheme="majorHAnsi"/>
        </w:rPr>
      </w:pPr>
      <w:r w:rsidRPr="00F136F3">
        <w:rPr>
          <w:rFonts w:asciiTheme="majorHAnsi" w:hAnsiTheme="majorHAnsi"/>
        </w:rPr>
        <w:t xml:space="preserve">Abb. </w:t>
      </w:r>
      <w:r w:rsidR="00E971ED">
        <w:rPr>
          <w:rFonts w:asciiTheme="majorHAnsi" w:hAnsiTheme="majorHAnsi"/>
        </w:rPr>
        <w:t>2</w:t>
      </w:r>
      <w:r w:rsidRPr="00F136F3">
        <w:rPr>
          <w:rFonts w:asciiTheme="majorHAnsi" w:hAnsiTheme="majorHAnsi"/>
        </w:rPr>
        <w:t xml:space="preserve">: Reaktionsmechanismus zur Herstellung von </w:t>
      </w:r>
      <w:proofErr w:type="spellStart"/>
      <w:r w:rsidRPr="00F136F3">
        <w:rPr>
          <w:rFonts w:asciiTheme="majorHAnsi" w:hAnsiTheme="majorHAnsi"/>
        </w:rPr>
        <w:t>Acetylsalicylsäure</w:t>
      </w:r>
      <w:proofErr w:type="spellEnd"/>
    </w:p>
    <w:p w:rsidR="00475B77" w:rsidRPr="00F136F3" w:rsidRDefault="00475B77" w:rsidP="00F136F3">
      <w:pPr>
        <w:jc w:val="both"/>
        <w:rPr>
          <w:rFonts w:asciiTheme="majorHAnsi" w:hAnsiTheme="majorHAnsi"/>
        </w:rPr>
      </w:pPr>
    </w:p>
    <w:p w:rsidR="00475B77" w:rsidRPr="00F136F3" w:rsidRDefault="00475B77" w:rsidP="00F136F3">
      <w:pPr>
        <w:jc w:val="both"/>
        <w:rPr>
          <w:rFonts w:asciiTheme="majorHAnsi" w:hAnsiTheme="majorHAnsi"/>
        </w:rPr>
      </w:pPr>
      <w:r w:rsidRPr="00F136F3">
        <w:rPr>
          <w:rFonts w:asciiTheme="majorHAnsi" w:hAnsiTheme="majorHAnsi"/>
        </w:rPr>
        <w:t>Entsorgung:</w:t>
      </w:r>
      <w:r w:rsidRPr="00F136F3">
        <w:rPr>
          <w:rFonts w:asciiTheme="majorHAnsi" w:hAnsiTheme="majorHAnsi"/>
        </w:rPr>
        <w:tab/>
        <w:t>Die Entsorgung kann über den organischen Abfallbehälter stattfinden.</w:t>
      </w:r>
    </w:p>
    <w:p w:rsidR="00475B77" w:rsidRPr="00F136F3" w:rsidRDefault="00475B77" w:rsidP="00F136F3">
      <w:pPr>
        <w:ind w:left="1410" w:hanging="1410"/>
        <w:jc w:val="both"/>
        <w:rPr>
          <w:rFonts w:asciiTheme="majorHAnsi" w:hAnsiTheme="majorHAnsi"/>
        </w:rPr>
      </w:pPr>
      <w:r w:rsidRPr="00F136F3">
        <w:rPr>
          <w:rFonts w:asciiTheme="majorHAnsi" w:hAnsiTheme="majorHAnsi"/>
        </w:rPr>
        <w:lastRenderedPageBreak/>
        <w:t>Literatur:</w:t>
      </w:r>
      <w:r w:rsidRPr="00F136F3">
        <w:rPr>
          <w:rFonts w:asciiTheme="majorHAnsi" w:hAnsiTheme="majorHAnsi"/>
        </w:rPr>
        <w:tab/>
        <w:t>Praktikumsskript (2012). LAK-F-Praktikum Organische Chemie. Universität Göttingen, S.60.</w:t>
      </w:r>
    </w:p>
    <w:p w:rsidR="00475B77" w:rsidRPr="00F136F3" w:rsidRDefault="00475B77" w:rsidP="00F136F3">
      <w:pPr>
        <w:jc w:val="both"/>
        <w:rPr>
          <w:rFonts w:asciiTheme="majorHAnsi" w:hAnsiTheme="majorHAnsi"/>
        </w:rPr>
      </w:pPr>
    </w:p>
    <w:p w:rsidR="00475B77" w:rsidRPr="00F136F3" w:rsidRDefault="008650FA" w:rsidP="00F136F3">
      <w:pPr>
        <w:jc w:val="both"/>
        <w:rPr>
          <w:rFonts w:asciiTheme="majorHAnsi" w:hAnsiTheme="majorHAnsi"/>
        </w:rPr>
      </w:pPr>
      <w:r>
        <w:rPr>
          <w:rFonts w:asciiTheme="majorHAnsi" w:hAnsiTheme="majorHAnsi"/>
        </w:rPr>
      </w:r>
      <w:r>
        <w:rPr>
          <w:rFonts w:asciiTheme="majorHAnsi" w:hAnsiTheme="majorHAnsi"/>
        </w:rPr>
        <w:pict>
          <v:shape id="_x0000_s1061" type="#_x0000_t202" style="width:462.45pt;height:102.4pt;mso-position-horizontal-relative:char;mso-position-vertical-relative:line;mso-width-relative:margin;mso-height-relative:margin" fillcolor="white [3201]" strokecolor="#c0504d [3205]" strokeweight="1pt">
            <v:stroke dashstyle="dash"/>
            <v:shadow color="#868686"/>
            <v:textbox style="mso-next-textbox:#_x0000_s1061">
              <w:txbxContent>
                <w:p w:rsidR="00475B77" w:rsidRPr="00F136F3" w:rsidRDefault="00475B77" w:rsidP="00F136F3">
                  <w:pPr>
                    <w:jc w:val="both"/>
                    <w:rPr>
                      <w:rFonts w:asciiTheme="majorHAnsi" w:hAnsiTheme="majorHAnsi"/>
                    </w:rPr>
                  </w:pPr>
                  <w:r w:rsidRPr="00F136F3">
                    <w:rPr>
                      <w:rFonts w:asciiTheme="majorHAnsi" w:hAnsiTheme="majorHAnsi"/>
                    </w:rPr>
                    <w:t>Aspirin</w:t>
                  </w:r>
                  <w:r w:rsidRPr="00F136F3">
                    <w:rPr>
                      <w:rFonts w:asciiTheme="majorHAnsi" w:hAnsiTheme="majorHAnsi"/>
                      <w:vertAlign w:val="superscript"/>
                    </w:rPr>
                    <w:t>®</w:t>
                  </w:r>
                  <w:r w:rsidRPr="00F136F3">
                    <w:rPr>
                      <w:rFonts w:asciiTheme="majorHAnsi" w:hAnsiTheme="majorHAnsi"/>
                    </w:rPr>
                    <w:t xml:space="preserve"> ist eines der berühmtesten Medikamente und in fast jedem Haushalt zu finden. Durch diesen Versuch kann den SuS gezeigt werden, dass in kurzer Zeit und durch einfache Mittel Medikamente hergestellt werden können. Der Versuch ist in diesem Skript als Lehrerversuch angegeben, weil gesundheitsschädliche und ätzende Stoffe verwendet werden. Er könnte allerdings auch von einem sehr sorgfältig arbeitenden Kurs eigenständig durchgeführt werden.</w:t>
                  </w:r>
                </w:p>
                <w:p w:rsidR="00475B77" w:rsidRPr="00AD31D3" w:rsidRDefault="00475B77" w:rsidP="00475B77"/>
              </w:txbxContent>
            </v:textbox>
            <w10:wrap type="none"/>
            <w10:anchorlock/>
          </v:shape>
        </w:pict>
      </w:r>
    </w:p>
    <w:p w:rsidR="0043384F" w:rsidRPr="00F136F3" w:rsidRDefault="004C5B72" w:rsidP="00F136F3">
      <w:pPr>
        <w:jc w:val="both"/>
        <w:rPr>
          <w:rFonts w:asciiTheme="majorHAnsi" w:hAnsiTheme="majorHAnsi"/>
        </w:rPr>
      </w:pPr>
    </w:p>
    <w:sectPr w:rsidR="0043384F" w:rsidRPr="00F136F3" w:rsidSect="001A2281">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72" w:rsidRDefault="004C5B72" w:rsidP="000B77F4">
      <w:pPr>
        <w:spacing w:line="240" w:lineRule="auto"/>
      </w:pPr>
      <w:r>
        <w:separator/>
      </w:r>
    </w:p>
  </w:endnote>
  <w:endnote w:type="continuationSeparator" w:id="0">
    <w:p w:rsidR="004C5B72" w:rsidRDefault="004C5B72" w:rsidP="000B77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72" w:rsidRDefault="004C5B72" w:rsidP="000B77F4">
      <w:pPr>
        <w:spacing w:line="240" w:lineRule="auto"/>
      </w:pPr>
      <w:r>
        <w:separator/>
      </w:r>
    </w:p>
  </w:footnote>
  <w:footnote w:type="continuationSeparator" w:id="0">
    <w:p w:rsidR="004C5B72" w:rsidRDefault="004C5B72" w:rsidP="000B77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0B77F4" w:rsidRPr="00F136F3" w:rsidRDefault="00814C93" w:rsidP="000B77F4">
        <w:pPr>
          <w:pStyle w:val="Kopfzeile"/>
          <w:rPr>
            <w:rFonts w:asciiTheme="majorHAnsi" w:hAnsiTheme="majorHAnsi"/>
          </w:rPr>
        </w:pPr>
        <w:r w:rsidRPr="00F136F3">
          <w:rPr>
            <w:rFonts w:asciiTheme="majorHAnsi" w:hAnsiTheme="majorHAnsi"/>
          </w:rPr>
          <w:t xml:space="preserve">V </w:t>
        </w:r>
        <w:r w:rsidR="00475B77" w:rsidRPr="00F136F3">
          <w:rPr>
            <w:rFonts w:asciiTheme="majorHAnsi" w:hAnsiTheme="majorHAnsi"/>
          </w:rPr>
          <w:t>4</w:t>
        </w:r>
        <w:r w:rsidR="000B77F4" w:rsidRPr="00F136F3">
          <w:rPr>
            <w:rFonts w:asciiTheme="majorHAnsi" w:hAnsiTheme="majorHAnsi"/>
          </w:rPr>
          <w:t xml:space="preserve"> – </w:t>
        </w:r>
        <w:r w:rsidR="00282CE5" w:rsidRPr="00F136F3">
          <w:rPr>
            <w:rFonts w:asciiTheme="majorHAnsi" w:hAnsiTheme="majorHAnsi"/>
          </w:rPr>
          <w:t>As</w:t>
        </w:r>
        <w:r w:rsidR="00475B77" w:rsidRPr="00F136F3">
          <w:rPr>
            <w:rFonts w:asciiTheme="majorHAnsi" w:hAnsiTheme="majorHAnsi"/>
          </w:rPr>
          <w:t>pirin</w:t>
        </w:r>
        <w:r w:rsidR="00984870" w:rsidRPr="00F136F3">
          <w:rPr>
            <w:rFonts w:asciiTheme="majorHAnsi" w:hAnsiTheme="majorHAnsi"/>
          </w:rPr>
          <w:t>®</w:t>
        </w:r>
        <w:r w:rsidR="00475B77" w:rsidRPr="00F136F3">
          <w:rPr>
            <w:rFonts w:asciiTheme="majorHAnsi" w:hAnsiTheme="majorHAnsi"/>
          </w:rPr>
          <w:t xml:space="preserve"> selbst herstellen</w:t>
        </w:r>
        <w:r w:rsidR="000B77F4" w:rsidRPr="00F136F3">
          <w:rPr>
            <w:rFonts w:asciiTheme="majorHAnsi" w:hAnsiTheme="majorHAnsi"/>
          </w:rPr>
          <w:tab/>
        </w:r>
        <w:r w:rsidR="000B77F4" w:rsidRPr="00F136F3">
          <w:rPr>
            <w:rFonts w:asciiTheme="majorHAnsi" w:hAnsiTheme="majorHAnsi"/>
          </w:rPr>
          <w:tab/>
          <w:t xml:space="preserve"> </w:t>
        </w:r>
        <w:r w:rsidR="008650FA" w:rsidRPr="00F136F3">
          <w:rPr>
            <w:rFonts w:asciiTheme="majorHAnsi" w:hAnsiTheme="majorHAnsi"/>
          </w:rPr>
          <w:fldChar w:fldCharType="begin"/>
        </w:r>
        <w:r w:rsidR="004534D6" w:rsidRPr="00F136F3">
          <w:rPr>
            <w:rFonts w:asciiTheme="majorHAnsi" w:hAnsiTheme="majorHAnsi"/>
          </w:rPr>
          <w:instrText xml:space="preserve"> PAGE   \* MERGEFORMAT </w:instrText>
        </w:r>
        <w:r w:rsidR="008650FA" w:rsidRPr="00F136F3">
          <w:rPr>
            <w:rFonts w:asciiTheme="majorHAnsi" w:hAnsiTheme="majorHAnsi"/>
          </w:rPr>
          <w:fldChar w:fldCharType="separate"/>
        </w:r>
        <w:r w:rsidR="00E971ED">
          <w:rPr>
            <w:rFonts w:asciiTheme="majorHAnsi" w:hAnsiTheme="majorHAnsi"/>
            <w:noProof/>
          </w:rPr>
          <w:t>2</w:t>
        </w:r>
        <w:r w:rsidR="008650FA" w:rsidRPr="00F136F3">
          <w:rPr>
            <w:rFonts w:asciiTheme="majorHAnsi" w:hAnsiTheme="majorHAnsi"/>
          </w:rPr>
          <w:fldChar w:fldCharType="end"/>
        </w:r>
      </w:p>
    </w:sdtContent>
  </w:sdt>
  <w:p w:rsidR="000B77F4" w:rsidRPr="00F136F3" w:rsidRDefault="008650FA">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2050" type="#_x0000_t32" style="position:absolute;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7D4"/>
    <w:multiLevelType w:val="hybridMultilevel"/>
    <w:tmpl w:val="D18A4DA2"/>
    <w:lvl w:ilvl="0" w:tplc="976484A2">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rules v:ext="edit">
        <o:r id="V:Rule2" type="connector" idref="#_x0000_s2050"/>
      </o:rules>
    </o:shapelayout>
  </w:hdrShapeDefaults>
  <w:footnotePr>
    <w:footnote w:id="-1"/>
    <w:footnote w:id="0"/>
  </w:footnotePr>
  <w:endnotePr>
    <w:endnote w:id="-1"/>
    <w:endnote w:id="0"/>
  </w:endnotePr>
  <w:compat/>
  <w:rsids>
    <w:rsidRoot w:val="000B77F4"/>
    <w:rsid w:val="000B77F4"/>
    <w:rsid w:val="001461C9"/>
    <w:rsid w:val="001A2281"/>
    <w:rsid w:val="00282CE5"/>
    <w:rsid w:val="002E1808"/>
    <w:rsid w:val="004534D6"/>
    <w:rsid w:val="00475B77"/>
    <w:rsid w:val="004C5B72"/>
    <w:rsid w:val="005A32BD"/>
    <w:rsid w:val="006C32AC"/>
    <w:rsid w:val="00814C93"/>
    <w:rsid w:val="008650FA"/>
    <w:rsid w:val="008F1F3C"/>
    <w:rsid w:val="00984870"/>
    <w:rsid w:val="009C761D"/>
    <w:rsid w:val="00D95790"/>
    <w:rsid w:val="00E971ED"/>
    <w:rsid w:val="00F136F3"/>
    <w:rsid w:val="00F853BB"/>
    <w:rsid w:val="00FC1C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table" w:styleId="Tabellengitternetz">
    <w:name w:val="Table Grid"/>
    <w:basedOn w:val="NormaleTabelle"/>
    <w:uiPriority w:val="59"/>
    <w:rsid w:val="000B77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B77F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7F4"/>
    <w:rPr>
      <w:rFonts w:ascii="Tahoma" w:hAnsi="Tahoma" w:cs="Tahoma"/>
      <w:sz w:val="16"/>
      <w:szCs w:val="16"/>
    </w:rPr>
  </w:style>
  <w:style w:type="paragraph" w:styleId="Kopfzeile">
    <w:name w:val="header"/>
    <w:basedOn w:val="Standard"/>
    <w:link w:val="KopfzeileZchn"/>
    <w:uiPriority w:val="99"/>
    <w:semiHidden/>
    <w:unhideWhenUsed/>
    <w:rsid w:val="000B77F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B77F4"/>
  </w:style>
  <w:style w:type="paragraph" w:styleId="Fuzeile">
    <w:name w:val="footer"/>
    <w:basedOn w:val="Standard"/>
    <w:link w:val="FuzeileZchn"/>
    <w:uiPriority w:val="99"/>
    <w:semiHidden/>
    <w:unhideWhenUsed/>
    <w:rsid w:val="000B77F4"/>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0B77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1646</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2013-08-12T15:41:00Z</dcterms:created>
  <dcterms:modified xsi:type="dcterms:W3CDTF">2013-08-12T16:13:00Z</dcterms:modified>
</cp:coreProperties>
</file>