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26" w:rsidRPr="008F1E26" w:rsidRDefault="000F58A1" w:rsidP="008F1E26">
      <w:pPr>
        <w:keepNext/>
        <w:keepLines/>
        <w:numPr>
          <w:ilvl w:val="1"/>
          <w:numId w:val="0"/>
        </w:numPr>
        <w:ind w:left="576" w:hanging="576"/>
        <w:jc w:val="both"/>
        <w:outlineLvl w:val="1"/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</w:pPr>
      <w:r>
        <w:rPr>
          <w:rFonts w:asciiTheme="majorHAnsi" w:eastAsiaTheme="majorEastAsia" w:hAnsiTheme="majorHAnsi" w:cstheme="majorBidi"/>
          <w:b/>
          <w:bCs/>
          <w:noProof/>
          <w:color w:val="1D1B11" w:themeColor="background2" w:themeShade="1A"/>
          <w:szCs w:val="26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.45pt;margin-top:22.45pt;width:462.45pt;height:82.9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74">
              <w:txbxContent>
                <w:p w:rsidR="008F1E26" w:rsidRPr="008F1E26" w:rsidRDefault="008F1E26" w:rsidP="008F1E26">
                  <w:pPr>
                    <w:jc w:val="both"/>
                    <w:rPr>
                      <w:rFonts w:asciiTheme="majorHAnsi" w:hAnsiTheme="majorHAnsi"/>
                    </w:rPr>
                  </w:pPr>
                  <w:r w:rsidRPr="008F1E26">
                    <w:rPr>
                      <w:rFonts w:asciiTheme="majorHAnsi" w:hAnsiTheme="majorHAnsi"/>
                    </w:rPr>
                    <w:t>Dieser Versuch zeigt, wie die Säurestärke und Wirkung der verschiedenen Alkansäuren mit steigender Länge der Kohlenstoffkette abnimmt.</w:t>
                  </w:r>
                </w:p>
                <w:p w:rsidR="008F1E26" w:rsidRPr="008F1E26" w:rsidRDefault="008F1E26" w:rsidP="008F1E26">
                  <w:pPr>
                    <w:jc w:val="both"/>
                    <w:rPr>
                      <w:rFonts w:asciiTheme="majorHAnsi" w:hAnsiTheme="majorHAnsi"/>
                    </w:rPr>
                  </w:pPr>
                  <w:r w:rsidRPr="008F1E26">
                    <w:rPr>
                      <w:rFonts w:asciiTheme="majorHAnsi" w:hAnsiTheme="majorHAnsi"/>
                    </w:rPr>
                    <w:t xml:space="preserve">Für eine bessere Deutung sollte den SuS der </w:t>
                  </w:r>
                  <w:proofErr w:type="spellStart"/>
                  <w:r w:rsidRPr="008F1E26">
                    <w:rPr>
                      <w:rFonts w:asciiTheme="majorHAnsi" w:hAnsiTheme="majorHAnsi"/>
                    </w:rPr>
                    <w:t>struktuelle</w:t>
                  </w:r>
                  <w:proofErr w:type="spellEnd"/>
                  <w:r w:rsidRPr="008F1E26">
                    <w:rPr>
                      <w:rFonts w:asciiTheme="majorHAnsi" w:hAnsiTheme="majorHAnsi"/>
                    </w:rPr>
                    <w:t xml:space="preserve"> Aufbau der verschiedenen Alkansäuren bekannt sein.</w:t>
                  </w:r>
                </w:p>
              </w:txbxContent>
            </v:textbox>
            <w10:wrap type="square"/>
          </v:shape>
        </w:pict>
      </w:r>
      <w:bookmarkStart w:id="0" w:name="_Toc364088938"/>
      <w:r w:rsidR="008F1E26" w:rsidRPr="008F1E26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  <w:t>V 5 – Induktionseffekt der Alkansäuren</w:t>
      </w:r>
      <w:bookmarkEnd w:id="0"/>
    </w:p>
    <w:p w:rsidR="008F1E26" w:rsidRPr="008F1E26" w:rsidRDefault="008F1E26" w:rsidP="008F1E26">
      <w:pPr>
        <w:jc w:val="both"/>
        <w:rPr>
          <w:rFonts w:asciiTheme="majorHAnsi" w:hAnsiTheme="majorHAnsi"/>
          <w:color w:val="FF0000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F1E26" w:rsidRPr="008F1E26" w:rsidTr="00AF3449">
        <w:tc>
          <w:tcPr>
            <w:tcW w:w="9322" w:type="dxa"/>
            <w:gridSpan w:val="9"/>
            <w:shd w:val="clear" w:color="auto" w:fill="4F81BD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8F1E26">
              <w:rPr>
                <w:rFonts w:asciiTheme="majorHAnsi" w:hAnsiTheme="majorHAnsi"/>
                <w:b/>
                <w:bCs/>
              </w:rPr>
              <w:t>Gefahrenstoffe</w:t>
            </w:r>
          </w:p>
        </w:tc>
      </w:tr>
      <w:tr w:rsidR="008F1E26" w:rsidRPr="008F1E26" w:rsidTr="00AF344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8F1E26">
              <w:rPr>
                <w:rFonts w:asciiTheme="majorHAnsi" w:hAnsiTheme="majorHAnsi"/>
              </w:rPr>
              <w:t xml:space="preserve">Methansäure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H: 226,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P: 260, 280, 301+330+331, 305+351+338, 309, 310</w:t>
            </w:r>
          </w:p>
        </w:tc>
      </w:tr>
      <w:tr w:rsidR="008F1E26" w:rsidRPr="008F1E26" w:rsidTr="00AF344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F1E26">
              <w:rPr>
                <w:rFonts w:asciiTheme="majorHAnsi" w:hAnsiTheme="majorHAnsi"/>
              </w:rPr>
              <w:t>Ethansäure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H: 226,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P: 280, 301+330+331, 305+351+338</w:t>
            </w:r>
          </w:p>
        </w:tc>
      </w:tr>
      <w:tr w:rsidR="008F1E26" w:rsidRPr="008F1E26" w:rsidTr="00AF344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Propansäure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H: 226,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P: 210, 241, 303+361+353, 305+351+338, 405</w:t>
            </w:r>
          </w:p>
        </w:tc>
      </w:tr>
      <w:tr w:rsidR="008F1E26" w:rsidRPr="008F1E26" w:rsidTr="00AF344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Magnesium-Band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 xml:space="preserve">H: -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P: -</w:t>
            </w:r>
          </w:p>
        </w:tc>
      </w:tr>
      <w:tr w:rsidR="008F1E26" w:rsidRPr="008F1E26" w:rsidTr="00AF344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b/>
                <w:bCs/>
                <w:color w:val="FF0000"/>
              </w:rPr>
            </w:pPr>
            <w:r w:rsidRPr="008F1E26">
              <w:rPr>
                <w:rFonts w:asciiTheme="majorHAnsi" w:hAnsiTheme="majorHAnsi"/>
                <w:b/>
                <w:noProof/>
                <w:color w:val="FF0000"/>
                <w:lang w:eastAsia="de-DE"/>
              </w:rPr>
              <w:drawing>
                <wp:inline distT="0" distB="0" distL="0" distR="0">
                  <wp:extent cx="538061" cy="540000"/>
                  <wp:effectExtent l="0" t="0" r="0" b="0"/>
                  <wp:docPr id="303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color w:val="FF0000"/>
              </w:rPr>
            </w:pPr>
            <w:r w:rsidRPr="008F1E26">
              <w:rPr>
                <w:rFonts w:asciiTheme="majorHAnsi" w:hAnsiTheme="majorHAnsi"/>
                <w:noProof/>
                <w:color w:val="FF0000"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304" name="Bild 7" descr="C:\Users\TOSHIBA\Desktop\SVP_Chemie\Protokoll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SHIBA\Desktop\SVP_Chemie\Protokoll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color w:val="FF0000"/>
              </w:rPr>
            </w:pPr>
            <w:r w:rsidRPr="008F1E26">
              <w:rPr>
                <w:rFonts w:asciiTheme="majorHAnsi" w:hAnsiTheme="majorHAnsi"/>
                <w:noProof/>
                <w:color w:val="FF0000"/>
                <w:lang w:eastAsia="de-DE"/>
              </w:rPr>
              <w:drawing>
                <wp:inline distT="0" distB="0" distL="0" distR="0">
                  <wp:extent cx="540000" cy="551986"/>
                  <wp:effectExtent l="19050" t="0" r="0" b="0"/>
                  <wp:docPr id="305" name="Bild 8" descr="C:\Users\TOSHIBA\Desktop\SVP_Chemie\Protokol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SHIBA\Desktop\SVP_Chemie\Protokol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51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color w:val="FF0000"/>
              </w:rPr>
            </w:pPr>
            <w:r w:rsidRPr="008F1E26">
              <w:rPr>
                <w:rFonts w:asciiTheme="majorHAnsi" w:hAnsiTheme="majorHAnsi"/>
                <w:noProof/>
                <w:color w:val="FF0000"/>
                <w:lang w:eastAsia="de-DE"/>
              </w:rPr>
              <w:drawing>
                <wp:inline distT="0" distB="0" distL="0" distR="0">
                  <wp:extent cx="538320" cy="540000"/>
                  <wp:effectExtent l="0" t="0" r="0" b="0"/>
                  <wp:docPr id="306" name="Bild 9" descr="C:\Users\TOSHIBA\Desktop\SVP_Chemie\Protokolle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OSHIBA\Desktop\SVP_Chemie\Protokolle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color w:val="FF0000"/>
              </w:rPr>
            </w:pPr>
            <w:r w:rsidRPr="008F1E26">
              <w:rPr>
                <w:rFonts w:asciiTheme="majorHAnsi" w:hAnsiTheme="majorHAnsi"/>
                <w:noProof/>
                <w:color w:val="FF0000"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307" name="Bild 10" descr="C:\Users\TOSHIBA\Desktop\SVP_Chemie\Protokolle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OSHIBA\Desktop\SVP_Chemie\Protokolle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color w:val="FF0000"/>
              </w:rPr>
            </w:pPr>
            <w:r w:rsidRPr="008F1E26">
              <w:rPr>
                <w:rFonts w:asciiTheme="majorHAnsi" w:hAnsiTheme="majorHAnsi"/>
                <w:noProof/>
                <w:color w:val="FF0000"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308" name="Bild 11" descr="C:\Users\TOSHIBA\Desktop\SVP_Chemie\Protokol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OSHIBA\Desktop\SVP_Chemie\Protokol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color w:val="FF0000"/>
              </w:rPr>
            </w:pPr>
            <w:r w:rsidRPr="008F1E26">
              <w:rPr>
                <w:rFonts w:asciiTheme="majorHAnsi" w:hAnsiTheme="majorHAnsi"/>
                <w:noProof/>
                <w:color w:val="FF0000"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309" name="Bild 12" descr="C:\Users\TOSHIBA\Desktop\SVP_Chemie\Protokolle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BA\Desktop\SVP_Chemie\Protokolle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color w:val="FF0000"/>
              </w:rPr>
            </w:pPr>
            <w:r w:rsidRPr="008F1E26">
              <w:rPr>
                <w:rFonts w:asciiTheme="majorHAnsi" w:hAnsiTheme="majorHAnsi"/>
                <w:noProof/>
                <w:color w:val="FF0000"/>
                <w:lang w:eastAsia="de-DE"/>
              </w:rPr>
              <w:drawing>
                <wp:inline distT="0" distB="0" distL="0" distR="0">
                  <wp:extent cx="539999" cy="540000"/>
                  <wp:effectExtent l="0" t="0" r="0" b="0"/>
                  <wp:docPr id="31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9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color w:val="FF0000"/>
              </w:rPr>
            </w:pPr>
            <w:r w:rsidRPr="008F1E26">
              <w:rPr>
                <w:rFonts w:asciiTheme="majorHAnsi" w:hAnsiTheme="majorHAnsi"/>
                <w:noProof/>
                <w:color w:val="FF0000"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311" name="Bild 13" descr="C:\Users\TOSHIBA\Desktop\SVP_Chemie\Protokoll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SHIBA\Desktop\SVP_Chemie\Protokoll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E26" w:rsidRPr="008F1E26" w:rsidRDefault="008F1E26" w:rsidP="008F1E26">
      <w:pPr>
        <w:jc w:val="both"/>
        <w:rPr>
          <w:rFonts w:asciiTheme="majorHAnsi" w:hAnsiTheme="majorHAnsi"/>
        </w:rPr>
      </w:pPr>
    </w:p>
    <w:p w:rsidR="008F1E26" w:rsidRPr="008F1E26" w:rsidRDefault="008F1E26" w:rsidP="008F1E26">
      <w:pPr>
        <w:ind w:left="1410" w:hanging="1410"/>
        <w:jc w:val="both"/>
        <w:rPr>
          <w:rFonts w:asciiTheme="majorHAnsi" w:hAnsiTheme="majorHAnsi"/>
        </w:rPr>
      </w:pPr>
      <w:r w:rsidRPr="008F1E26">
        <w:rPr>
          <w:rFonts w:asciiTheme="majorHAnsi" w:hAnsiTheme="majorHAnsi"/>
        </w:rPr>
        <w:t xml:space="preserve">Materialien: </w:t>
      </w:r>
      <w:r w:rsidRPr="008F1E26">
        <w:rPr>
          <w:rFonts w:asciiTheme="majorHAnsi" w:hAnsiTheme="majorHAnsi"/>
        </w:rPr>
        <w:tab/>
        <w:t>3 Petrischalen, Universalindikatorpapier</w:t>
      </w:r>
    </w:p>
    <w:p w:rsidR="008F1E26" w:rsidRPr="008F1E26" w:rsidRDefault="008F1E26" w:rsidP="008F1E26">
      <w:pPr>
        <w:ind w:left="1410" w:hanging="1410"/>
        <w:jc w:val="both"/>
        <w:rPr>
          <w:rFonts w:asciiTheme="majorHAnsi" w:hAnsiTheme="majorHAnsi"/>
        </w:rPr>
      </w:pPr>
    </w:p>
    <w:p w:rsidR="008F1E26" w:rsidRPr="008F1E26" w:rsidRDefault="008F1E26" w:rsidP="008F1E26">
      <w:pPr>
        <w:ind w:left="1410" w:hanging="1410"/>
        <w:jc w:val="both"/>
        <w:rPr>
          <w:rFonts w:asciiTheme="majorHAnsi" w:hAnsiTheme="majorHAnsi"/>
        </w:rPr>
      </w:pPr>
      <w:r w:rsidRPr="008F1E26">
        <w:rPr>
          <w:rFonts w:asciiTheme="majorHAnsi" w:hAnsiTheme="majorHAnsi"/>
        </w:rPr>
        <w:t>Chemikalien:</w:t>
      </w:r>
      <w:r w:rsidRPr="008F1E26">
        <w:rPr>
          <w:rFonts w:asciiTheme="majorHAnsi" w:hAnsiTheme="majorHAnsi"/>
        </w:rPr>
        <w:tab/>
        <w:t xml:space="preserve">konzentrierte Methansäure (Ameisensäure), konzentrierte </w:t>
      </w:r>
      <w:proofErr w:type="spellStart"/>
      <w:r w:rsidRPr="008F1E26">
        <w:rPr>
          <w:rFonts w:asciiTheme="majorHAnsi" w:hAnsiTheme="majorHAnsi"/>
        </w:rPr>
        <w:t>Ethansäure</w:t>
      </w:r>
      <w:proofErr w:type="spellEnd"/>
      <w:r w:rsidRPr="008F1E26">
        <w:rPr>
          <w:rFonts w:asciiTheme="majorHAnsi" w:hAnsiTheme="majorHAnsi"/>
        </w:rPr>
        <w:t xml:space="preserve"> (Essigsäure), konzentrierte Propansäure (</w:t>
      </w:r>
      <w:proofErr w:type="spellStart"/>
      <w:r w:rsidRPr="008F1E26">
        <w:rPr>
          <w:rFonts w:asciiTheme="majorHAnsi" w:hAnsiTheme="majorHAnsi"/>
        </w:rPr>
        <w:t>Propionsäure</w:t>
      </w:r>
      <w:proofErr w:type="spellEnd"/>
      <w:r w:rsidRPr="008F1E26">
        <w:rPr>
          <w:rFonts w:asciiTheme="majorHAnsi" w:hAnsiTheme="majorHAnsi"/>
        </w:rPr>
        <w:t>), Mg-Band</w:t>
      </w:r>
    </w:p>
    <w:p w:rsidR="008F1E26" w:rsidRPr="008F1E26" w:rsidRDefault="008F1E26" w:rsidP="008F1E26">
      <w:pPr>
        <w:jc w:val="both"/>
        <w:rPr>
          <w:rFonts w:asciiTheme="majorHAnsi" w:hAnsiTheme="majorHAnsi"/>
        </w:rPr>
      </w:pPr>
    </w:p>
    <w:p w:rsidR="008F1E26" w:rsidRPr="008F1E26" w:rsidRDefault="008F1E26" w:rsidP="008F1E26">
      <w:pPr>
        <w:tabs>
          <w:tab w:val="left" w:pos="708"/>
          <w:tab w:val="left" w:pos="1416"/>
          <w:tab w:val="left" w:pos="2010"/>
        </w:tabs>
        <w:ind w:left="1410" w:hanging="1410"/>
        <w:jc w:val="both"/>
        <w:rPr>
          <w:rFonts w:asciiTheme="majorHAnsi" w:hAnsiTheme="majorHAnsi"/>
        </w:rPr>
      </w:pPr>
      <w:r w:rsidRPr="008F1E26">
        <w:rPr>
          <w:rFonts w:asciiTheme="majorHAnsi" w:hAnsiTheme="majorHAnsi"/>
        </w:rPr>
        <w:t>Durchführung:</w:t>
      </w:r>
      <w:r w:rsidRPr="008F1E26">
        <w:rPr>
          <w:rFonts w:asciiTheme="majorHAnsi" w:hAnsiTheme="majorHAnsi"/>
        </w:rPr>
        <w:tab/>
        <w:t>In jede Petrischale wird der Boden mit einer der drei Alkansäuren bedeckt. Mit dem Indikatorpapier wird der pH-Wert der Säure bestimmt, bevor in jede Petrischale ein abgeschmirgeltes Magnesiumband gegeben wird.</w:t>
      </w:r>
    </w:p>
    <w:p w:rsidR="008F1E26" w:rsidRPr="008F1E26" w:rsidRDefault="008F1E26" w:rsidP="008F1E26">
      <w:pPr>
        <w:jc w:val="both"/>
        <w:rPr>
          <w:rFonts w:asciiTheme="majorHAnsi" w:hAnsiTheme="majorHAnsi"/>
        </w:rPr>
      </w:pPr>
    </w:p>
    <w:tbl>
      <w:tblPr>
        <w:tblStyle w:val="Tabellengitternetz"/>
        <w:tblpPr w:leftFromText="141" w:rightFromText="141" w:vertAnchor="text" w:horzAnchor="margin" w:tblpXSpec="right" w:tblpY="403"/>
        <w:tblW w:w="0" w:type="auto"/>
        <w:tblLook w:val="04A0"/>
      </w:tblPr>
      <w:tblGrid>
        <w:gridCol w:w="2518"/>
        <w:gridCol w:w="2680"/>
        <w:gridCol w:w="2564"/>
      </w:tblGrid>
      <w:tr w:rsidR="008F1E26" w:rsidRPr="008F1E26" w:rsidTr="00AF3449">
        <w:tc>
          <w:tcPr>
            <w:tcW w:w="2518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b/>
              </w:rPr>
            </w:pPr>
            <w:r w:rsidRPr="008F1E26">
              <w:rPr>
                <w:rFonts w:asciiTheme="majorHAnsi" w:hAnsiTheme="majorHAnsi"/>
                <w:b/>
              </w:rPr>
              <w:t>Säure</w:t>
            </w:r>
          </w:p>
        </w:tc>
        <w:tc>
          <w:tcPr>
            <w:tcW w:w="2680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b/>
              </w:rPr>
            </w:pPr>
            <w:r w:rsidRPr="008F1E26">
              <w:rPr>
                <w:rFonts w:asciiTheme="majorHAnsi" w:hAnsiTheme="majorHAnsi"/>
                <w:b/>
              </w:rPr>
              <w:t>pH-Wert</w:t>
            </w:r>
          </w:p>
        </w:tc>
        <w:tc>
          <w:tcPr>
            <w:tcW w:w="2564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  <w:b/>
              </w:rPr>
            </w:pPr>
            <w:r w:rsidRPr="008F1E26">
              <w:rPr>
                <w:rFonts w:asciiTheme="majorHAnsi" w:hAnsiTheme="majorHAnsi"/>
                <w:b/>
              </w:rPr>
              <w:t>Blasenbildung bei Zugabe des Mg-Bandes</w:t>
            </w:r>
          </w:p>
        </w:tc>
      </w:tr>
      <w:tr w:rsidR="008F1E26" w:rsidRPr="008F1E26" w:rsidTr="00AF3449">
        <w:tc>
          <w:tcPr>
            <w:tcW w:w="2518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Methansäure</w:t>
            </w:r>
          </w:p>
        </w:tc>
        <w:tc>
          <w:tcPr>
            <w:tcW w:w="2680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1</w:t>
            </w:r>
          </w:p>
        </w:tc>
        <w:tc>
          <w:tcPr>
            <w:tcW w:w="2564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sehr stark</w:t>
            </w:r>
          </w:p>
        </w:tc>
      </w:tr>
      <w:tr w:rsidR="008F1E26" w:rsidRPr="008F1E26" w:rsidTr="00AF3449">
        <w:tc>
          <w:tcPr>
            <w:tcW w:w="2518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F1E26">
              <w:rPr>
                <w:rFonts w:asciiTheme="majorHAnsi" w:hAnsiTheme="majorHAnsi"/>
              </w:rPr>
              <w:t>Ethansäure</w:t>
            </w:r>
            <w:proofErr w:type="spellEnd"/>
          </w:p>
        </w:tc>
        <w:tc>
          <w:tcPr>
            <w:tcW w:w="2680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2</w:t>
            </w:r>
          </w:p>
        </w:tc>
        <w:tc>
          <w:tcPr>
            <w:tcW w:w="2564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mittel</w:t>
            </w:r>
          </w:p>
        </w:tc>
      </w:tr>
      <w:tr w:rsidR="008F1E26" w:rsidRPr="008F1E26" w:rsidTr="00AF3449">
        <w:tc>
          <w:tcPr>
            <w:tcW w:w="2518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Propansäure</w:t>
            </w:r>
          </w:p>
        </w:tc>
        <w:tc>
          <w:tcPr>
            <w:tcW w:w="2680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3</w:t>
            </w:r>
          </w:p>
        </w:tc>
        <w:tc>
          <w:tcPr>
            <w:tcW w:w="2564" w:type="dxa"/>
          </w:tcPr>
          <w:p w:rsidR="008F1E26" w:rsidRPr="008F1E26" w:rsidRDefault="008F1E26" w:rsidP="008F1E26">
            <w:pPr>
              <w:jc w:val="both"/>
              <w:rPr>
                <w:rFonts w:asciiTheme="majorHAnsi" w:hAnsiTheme="majorHAnsi"/>
              </w:rPr>
            </w:pPr>
            <w:r w:rsidRPr="008F1E26">
              <w:rPr>
                <w:rFonts w:asciiTheme="majorHAnsi" w:hAnsiTheme="majorHAnsi"/>
              </w:rPr>
              <w:t>schwach</w:t>
            </w:r>
          </w:p>
        </w:tc>
      </w:tr>
    </w:tbl>
    <w:p w:rsidR="008F1E26" w:rsidRPr="008F1E26" w:rsidRDefault="008F1E26" w:rsidP="008F1E26">
      <w:pPr>
        <w:ind w:left="1410" w:hanging="1410"/>
        <w:jc w:val="both"/>
        <w:rPr>
          <w:rFonts w:asciiTheme="majorHAnsi" w:hAnsiTheme="majorHAnsi"/>
        </w:rPr>
      </w:pPr>
      <w:r w:rsidRPr="008F1E26">
        <w:rPr>
          <w:rFonts w:asciiTheme="majorHAnsi" w:hAnsiTheme="majorHAnsi"/>
        </w:rPr>
        <w:t>Beobachtung:</w:t>
      </w:r>
      <w:r w:rsidRPr="008F1E26">
        <w:rPr>
          <w:rFonts w:asciiTheme="majorHAnsi" w:hAnsiTheme="majorHAnsi"/>
        </w:rPr>
        <w:tab/>
      </w:r>
      <w:r w:rsidRPr="008F1E26">
        <w:rPr>
          <w:rFonts w:asciiTheme="majorHAnsi" w:hAnsiTheme="majorHAnsi"/>
        </w:rPr>
        <w:tab/>
      </w:r>
    </w:p>
    <w:p w:rsidR="008F1E26" w:rsidRPr="008F1E26" w:rsidRDefault="008F1E26" w:rsidP="008F1E26">
      <w:pPr>
        <w:jc w:val="both"/>
        <w:rPr>
          <w:rFonts w:asciiTheme="majorHAnsi" w:hAnsiTheme="majorHAnsi"/>
          <w:bCs/>
          <w:noProof/>
          <w:lang w:eastAsia="de-DE"/>
        </w:rPr>
      </w:pPr>
    </w:p>
    <w:p w:rsidR="008F1E26" w:rsidRPr="008F1E26" w:rsidRDefault="008F1E26" w:rsidP="008F1E26">
      <w:pPr>
        <w:jc w:val="both"/>
        <w:rPr>
          <w:rFonts w:asciiTheme="majorHAnsi" w:hAnsiTheme="majorHAnsi"/>
          <w:bCs/>
        </w:rPr>
      </w:pPr>
      <w:r w:rsidRPr="008F1E26">
        <w:rPr>
          <w:rFonts w:asciiTheme="majorHAnsi" w:hAnsiTheme="majorHAnsi"/>
          <w:bCs/>
          <w:noProof/>
          <w:lang w:eastAsia="de-DE"/>
        </w:rPr>
        <w:lastRenderedPageBreak/>
        <w:drawing>
          <wp:inline distT="0" distB="0" distL="0" distR="0">
            <wp:extent cx="3552825" cy="2007794"/>
            <wp:effectExtent l="19050" t="0" r="9525" b="0"/>
            <wp:docPr id="312" name="Bild 12" descr="C:\Users\TOSHIBA\Desktop\SVP_Chemie\Carbonsäure\Bilder 11&amp;12\DSCF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SHIBA\Desktop\SVP_Chemie\Carbonsäure\Bilder 11&amp;12\DSCF27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2562" t="11455" r="8760" b="29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E26" w:rsidRPr="008F1E26" w:rsidRDefault="008F1E26" w:rsidP="008F1E26">
      <w:pPr>
        <w:jc w:val="both"/>
        <w:rPr>
          <w:rFonts w:asciiTheme="majorHAnsi" w:hAnsiTheme="majorHAnsi"/>
          <w:bCs/>
          <w:vertAlign w:val="superscript"/>
        </w:rPr>
      </w:pPr>
      <w:proofErr w:type="spellStart"/>
      <w:r w:rsidRPr="008F1E26">
        <w:rPr>
          <w:rFonts w:asciiTheme="majorHAnsi" w:hAnsiTheme="majorHAnsi"/>
          <w:bCs/>
        </w:rPr>
        <w:t>Abb</w:t>
      </w:r>
      <w:proofErr w:type="spellEnd"/>
      <w:r w:rsidRPr="008F1E26">
        <w:rPr>
          <w:rFonts w:asciiTheme="majorHAnsi" w:hAnsiTheme="majorHAnsi"/>
          <w:bCs/>
        </w:rPr>
        <w:t xml:space="preserve"> </w:t>
      </w:r>
      <w:r w:rsidR="006C2687">
        <w:rPr>
          <w:rFonts w:asciiTheme="majorHAnsi" w:hAnsiTheme="majorHAnsi"/>
          <w:bCs/>
        </w:rPr>
        <w:t>1</w:t>
      </w:r>
      <w:r w:rsidRPr="008F1E26">
        <w:rPr>
          <w:rFonts w:asciiTheme="majorHAnsi" w:hAnsiTheme="majorHAnsi"/>
          <w:bCs/>
        </w:rPr>
        <w:t>: Reaktion von Methan-, Ethan-, Propansäure (von links) mit Mg-Band und Indikatorpapier</w:t>
      </w:r>
    </w:p>
    <w:p w:rsidR="008F1E26" w:rsidRPr="008F1E26" w:rsidRDefault="008F1E26" w:rsidP="008F1E26">
      <w:pPr>
        <w:jc w:val="both"/>
        <w:rPr>
          <w:rFonts w:asciiTheme="majorHAnsi" w:hAnsiTheme="majorHAnsi"/>
          <w:bCs/>
        </w:rPr>
      </w:pPr>
    </w:p>
    <w:p w:rsidR="008F1E26" w:rsidRPr="008F1E26" w:rsidRDefault="008F1E26" w:rsidP="008F1E26">
      <w:pPr>
        <w:ind w:left="1410" w:hanging="1410"/>
        <w:jc w:val="both"/>
        <w:rPr>
          <w:rFonts w:asciiTheme="majorHAnsi" w:hAnsiTheme="majorHAnsi"/>
        </w:rPr>
      </w:pPr>
      <w:r w:rsidRPr="008F1E26">
        <w:rPr>
          <w:rFonts w:asciiTheme="majorHAnsi" w:hAnsiTheme="majorHAnsi"/>
        </w:rPr>
        <w:t>Deutung:</w:t>
      </w:r>
      <w:r w:rsidRPr="008F1E26">
        <w:rPr>
          <w:rFonts w:asciiTheme="majorHAnsi" w:hAnsiTheme="majorHAnsi"/>
        </w:rPr>
        <w:tab/>
        <w:t>Wie die verschiedenen Farben des Indikatorpapiers beweisen, nimmt die Säurestärke mit wachsender Kettenlänge der Alkansäuren ab.</w:t>
      </w:r>
    </w:p>
    <w:p w:rsidR="008F1E26" w:rsidRPr="008F1E26" w:rsidRDefault="008F1E26" w:rsidP="008F1E26">
      <w:pPr>
        <w:ind w:left="1410" w:hanging="1410"/>
        <w:jc w:val="both"/>
        <w:rPr>
          <w:rFonts w:asciiTheme="majorHAnsi" w:hAnsiTheme="majorHAnsi"/>
        </w:rPr>
      </w:pPr>
      <w:r w:rsidRPr="008F1E26">
        <w:rPr>
          <w:rFonts w:asciiTheme="majorHAnsi" w:hAnsiTheme="majorHAnsi"/>
        </w:rPr>
        <w:tab/>
        <w:t>Die Säure mit dem niedrigsten pH-Wert (Methansäure) reagiert mit dem Magnesiumband am stärksten. Es reagieren alle drei Carbonsäuren mit dem Metall unter H</w:t>
      </w:r>
      <w:r w:rsidRPr="008F1E26">
        <w:rPr>
          <w:rFonts w:asciiTheme="majorHAnsi" w:hAnsiTheme="majorHAnsi"/>
          <w:vertAlign w:val="subscript"/>
        </w:rPr>
        <w:t>2</w:t>
      </w:r>
      <w:r w:rsidRPr="008F1E26">
        <w:rPr>
          <w:rFonts w:asciiTheme="majorHAnsi" w:hAnsiTheme="majorHAnsi"/>
        </w:rPr>
        <w:t>-Freisetzung:</w:t>
      </w:r>
    </w:p>
    <w:p w:rsidR="008F1E26" w:rsidRPr="008F1E26" w:rsidRDefault="000F58A1" w:rsidP="008F1E26">
      <w:pPr>
        <w:ind w:left="1410" w:hanging="1410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164.65pt;margin-top:7.05pt;width:35.25pt;height:0;z-index:251661312" o:connectortype="straight">
            <v:stroke endarrow="block"/>
          </v:shape>
        </w:pict>
      </w:r>
      <w:r w:rsidR="008F1E26" w:rsidRPr="008F1E26">
        <w:rPr>
          <w:rFonts w:asciiTheme="majorHAnsi" w:hAnsiTheme="majorHAnsi"/>
        </w:rPr>
        <w:tab/>
        <w:t>2 H</w:t>
      </w:r>
      <w:r w:rsidR="008F1E26" w:rsidRPr="008F1E26">
        <w:rPr>
          <w:rFonts w:asciiTheme="majorHAnsi" w:hAnsiTheme="majorHAnsi"/>
          <w:vertAlign w:val="subscript"/>
        </w:rPr>
        <w:t>3</w:t>
      </w:r>
      <w:r w:rsidR="008F1E26" w:rsidRPr="008F1E26">
        <w:rPr>
          <w:rFonts w:asciiTheme="majorHAnsi" w:hAnsiTheme="majorHAnsi"/>
        </w:rPr>
        <w:t>O</w:t>
      </w:r>
      <w:r w:rsidR="008F1E26" w:rsidRPr="008F1E26">
        <w:rPr>
          <w:rFonts w:asciiTheme="majorHAnsi" w:hAnsiTheme="majorHAnsi"/>
          <w:vertAlign w:val="superscript"/>
        </w:rPr>
        <w:t>+</w:t>
      </w:r>
      <w:r w:rsidR="008F1E26" w:rsidRPr="008F1E26">
        <w:rPr>
          <w:rFonts w:asciiTheme="majorHAnsi" w:hAnsiTheme="majorHAnsi"/>
          <w:vertAlign w:val="subscript"/>
        </w:rPr>
        <w:t>(</w:t>
      </w:r>
      <w:proofErr w:type="spellStart"/>
      <w:r w:rsidR="008F1E26" w:rsidRPr="008F1E26">
        <w:rPr>
          <w:rFonts w:asciiTheme="majorHAnsi" w:hAnsiTheme="majorHAnsi"/>
          <w:vertAlign w:val="subscript"/>
        </w:rPr>
        <w:t>aq</w:t>
      </w:r>
      <w:proofErr w:type="spellEnd"/>
      <w:r w:rsidR="008F1E26" w:rsidRPr="008F1E26">
        <w:rPr>
          <w:rFonts w:asciiTheme="majorHAnsi" w:hAnsiTheme="majorHAnsi"/>
          <w:vertAlign w:val="subscript"/>
        </w:rPr>
        <w:t>)</w:t>
      </w:r>
      <w:r w:rsidR="008F1E26" w:rsidRPr="008F1E26">
        <w:rPr>
          <w:rFonts w:asciiTheme="majorHAnsi" w:hAnsiTheme="majorHAnsi"/>
        </w:rPr>
        <w:t xml:space="preserve"> + Mg</w:t>
      </w:r>
      <w:r w:rsidR="008F1E26" w:rsidRPr="008F1E26">
        <w:rPr>
          <w:rFonts w:asciiTheme="majorHAnsi" w:hAnsiTheme="majorHAnsi"/>
          <w:vertAlign w:val="subscript"/>
        </w:rPr>
        <w:t>(s)</w:t>
      </w:r>
      <w:r w:rsidR="008F1E26" w:rsidRPr="008F1E26">
        <w:rPr>
          <w:rFonts w:asciiTheme="majorHAnsi" w:hAnsiTheme="majorHAnsi"/>
        </w:rPr>
        <w:tab/>
      </w:r>
      <w:r w:rsidR="008F1E26" w:rsidRPr="008F1E26">
        <w:rPr>
          <w:rFonts w:asciiTheme="majorHAnsi" w:hAnsiTheme="majorHAnsi"/>
        </w:rPr>
        <w:tab/>
        <w:t>H</w:t>
      </w:r>
      <w:r w:rsidR="008F1E26" w:rsidRPr="008F1E26">
        <w:rPr>
          <w:rFonts w:asciiTheme="majorHAnsi" w:hAnsiTheme="majorHAnsi"/>
          <w:vertAlign w:val="subscript"/>
        </w:rPr>
        <w:t>2</w:t>
      </w:r>
      <w:r w:rsidR="008F1E26" w:rsidRPr="008F1E26">
        <w:rPr>
          <w:rFonts w:asciiTheme="majorHAnsi" w:hAnsiTheme="majorHAnsi"/>
        </w:rPr>
        <w:t>O</w:t>
      </w:r>
      <w:r w:rsidR="008F1E26" w:rsidRPr="008F1E26">
        <w:rPr>
          <w:rFonts w:asciiTheme="majorHAnsi" w:hAnsiTheme="majorHAnsi"/>
          <w:vertAlign w:val="subscript"/>
        </w:rPr>
        <w:t>(l)</w:t>
      </w:r>
      <w:r w:rsidR="008F1E26" w:rsidRPr="008F1E26">
        <w:rPr>
          <w:rFonts w:asciiTheme="majorHAnsi" w:hAnsiTheme="majorHAnsi"/>
        </w:rPr>
        <w:t xml:space="preserve"> + H</w:t>
      </w:r>
      <w:r w:rsidR="008F1E26" w:rsidRPr="008F1E26">
        <w:rPr>
          <w:rFonts w:asciiTheme="majorHAnsi" w:hAnsiTheme="majorHAnsi"/>
          <w:vertAlign w:val="subscript"/>
        </w:rPr>
        <w:t>2(g)</w:t>
      </w:r>
      <w:r w:rsidR="008F1E26" w:rsidRPr="008F1E26">
        <w:rPr>
          <w:rFonts w:asciiTheme="majorHAnsi" w:hAnsiTheme="majorHAnsi"/>
        </w:rPr>
        <w:t xml:space="preserve"> + Mg</w:t>
      </w:r>
      <w:r w:rsidR="008F1E26" w:rsidRPr="008F1E26">
        <w:rPr>
          <w:rFonts w:asciiTheme="majorHAnsi" w:hAnsiTheme="majorHAnsi"/>
          <w:vertAlign w:val="superscript"/>
        </w:rPr>
        <w:t>2+</w:t>
      </w:r>
      <w:r w:rsidR="008F1E26" w:rsidRPr="008F1E26">
        <w:rPr>
          <w:rFonts w:asciiTheme="majorHAnsi" w:hAnsiTheme="majorHAnsi"/>
          <w:vertAlign w:val="subscript"/>
        </w:rPr>
        <w:t>(</w:t>
      </w:r>
      <w:proofErr w:type="spellStart"/>
      <w:r w:rsidR="008F1E26" w:rsidRPr="008F1E26">
        <w:rPr>
          <w:rFonts w:asciiTheme="majorHAnsi" w:hAnsiTheme="majorHAnsi"/>
          <w:vertAlign w:val="subscript"/>
        </w:rPr>
        <w:t>aq</w:t>
      </w:r>
      <w:proofErr w:type="spellEnd"/>
      <w:r w:rsidR="008F1E26" w:rsidRPr="008F1E26">
        <w:rPr>
          <w:rFonts w:asciiTheme="majorHAnsi" w:hAnsiTheme="majorHAnsi"/>
          <w:vertAlign w:val="subscript"/>
        </w:rPr>
        <w:t>)</w:t>
      </w:r>
    </w:p>
    <w:p w:rsidR="008F1E26" w:rsidRPr="008F1E26" w:rsidRDefault="008F1E26" w:rsidP="008F1E26">
      <w:pPr>
        <w:ind w:left="1410" w:hanging="1410"/>
        <w:jc w:val="both"/>
        <w:rPr>
          <w:rFonts w:asciiTheme="majorHAnsi" w:hAnsiTheme="majorHAnsi"/>
        </w:rPr>
      </w:pPr>
      <w:r w:rsidRPr="008F1E26">
        <w:rPr>
          <w:rFonts w:asciiTheme="majorHAnsi" w:hAnsiTheme="majorHAnsi"/>
        </w:rPr>
        <w:tab/>
        <w:t>Die Abnahme der Säurestärke in der homologen Reihe der Alkansäuren kann durch den positiven Induktionseffekt (+I-Effekt) des Alkylrestes erklärt werden. Die Alkylkette schiebt Elektronen hierbei zur –COOH-Gruppe, wodurch das Proton schlechter abgespalten werden kann. Je länger die Alkylkette, desto stärker wird der +I-Effekt.</w:t>
      </w:r>
    </w:p>
    <w:p w:rsidR="008F1E26" w:rsidRPr="008F1E26" w:rsidRDefault="008F1E26" w:rsidP="008F1E26">
      <w:pPr>
        <w:ind w:left="1410" w:hanging="1410"/>
        <w:jc w:val="both"/>
        <w:rPr>
          <w:rFonts w:asciiTheme="majorHAnsi" w:hAnsiTheme="majorHAnsi"/>
        </w:rPr>
      </w:pPr>
      <w:r w:rsidRPr="008F1E26">
        <w:rPr>
          <w:rFonts w:asciiTheme="majorHAnsi" w:hAnsiTheme="majorHAnsi"/>
        </w:rPr>
        <w:tab/>
        <w:t>a)</w:t>
      </w:r>
      <w:r w:rsidRPr="008F1E26">
        <w:rPr>
          <w:rFonts w:asciiTheme="majorHAnsi" w:hAnsiTheme="majorHAnsi"/>
        </w:rPr>
        <w:tab/>
      </w:r>
      <w:r w:rsidRPr="008F1E26">
        <w:rPr>
          <w:rFonts w:asciiTheme="majorHAnsi" w:hAnsiTheme="majorHAnsi"/>
        </w:rPr>
        <w:tab/>
      </w:r>
      <w:r w:rsidRPr="008F1E26">
        <w:rPr>
          <w:rFonts w:asciiTheme="majorHAnsi" w:hAnsiTheme="majorHAnsi"/>
        </w:rPr>
        <w:tab/>
        <w:t>b)</w:t>
      </w:r>
    </w:p>
    <w:p w:rsidR="008F1E26" w:rsidRPr="008F1E26" w:rsidRDefault="008F1E26" w:rsidP="008F1E26">
      <w:pPr>
        <w:ind w:left="1410" w:hanging="1410"/>
        <w:jc w:val="both"/>
        <w:rPr>
          <w:rFonts w:ascii="Cambria" w:hAnsi="Cambria"/>
          <w:color w:val="1D1B11" w:themeColor="background2" w:themeShade="1A"/>
        </w:rPr>
      </w:pPr>
      <w:r w:rsidRPr="008F1E26">
        <w:rPr>
          <w:rFonts w:asciiTheme="majorHAnsi" w:hAnsiTheme="majorHAnsi"/>
        </w:rPr>
        <w:tab/>
      </w:r>
      <w:r w:rsidRPr="008F1E26">
        <w:rPr>
          <w:rFonts w:ascii="Cambria" w:hAnsi="Cambria"/>
          <w:noProof/>
          <w:color w:val="1D1B11" w:themeColor="background2" w:themeShade="1A"/>
          <w:lang w:eastAsia="de-DE"/>
        </w:rPr>
        <w:drawing>
          <wp:inline distT="0" distB="0" distL="0" distR="0">
            <wp:extent cx="883763" cy="714375"/>
            <wp:effectExtent l="0" t="0" r="0" b="0"/>
            <wp:docPr id="313" name="Bild 18" descr="Strukturformel der Ameisensä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rukturformel der Ameisensä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6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E26">
        <w:rPr>
          <w:rFonts w:asciiTheme="majorHAnsi" w:hAnsiTheme="majorHAnsi"/>
        </w:rPr>
        <w:tab/>
      </w:r>
      <w:r w:rsidRPr="008F1E26">
        <w:rPr>
          <w:rFonts w:asciiTheme="majorHAnsi" w:hAnsiTheme="majorHAnsi"/>
        </w:rPr>
        <w:tab/>
      </w:r>
      <w:r w:rsidRPr="008F1E26">
        <w:rPr>
          <w:rFonts w:ascii="Cambria" w:hAnsi="Cambria"/>
          <w:color w:val="1D1B11" w:themeColor="background2" w:themeShade="1A"/>
        </w:rPr>
        <w:t xml:space="preserve"> </w:t>
      </w:r>
      <w:r w:rsidRPr="008F1E26">
        <w:rPr>
          <w:rFonts w:ascii="Cambria" w:hAnsi="Cambria"/>
          <w:noProof/>
          <w:color w:val="1D1B11" w:themeColor="background2" w:themeShade="1A"/>
          <w:lang w:eastAsia="de-DE"/>
        </w:rPr>
        <w:drawing>
          <wp:inline distT="0" distB="0" distL="0" distR="0">
            <wp:extent cx="1285875" cy="885825"/>
            <wp:effectExtent l="0" t="0" r="0" b="0"/>
            <wp:docPr id="314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05000" cy="1257300"/>
                      <a:chOff x="2483768" y="1772816"/>
                      <a:chExt cx="1905000" cy="1257300"/>
                    </a:xfrm>
                  </a:grpSpPr>
                  <a:grpSp>
                    <a:nvGrpSpPr>
                      <a:cNvPr id="8" name="Gruppieren 7"/>
                      <a:cNvGrpSpPr/>
                    </a:nvGrpSpPr>
                    <a:grpSpPr>
                      <a:xfrm>
                        <a:off x="2483768" y="1772816"/>
                        <a:ext cx="1905000" cy="1257300"/>
                        <a:chOff x="2483768" y="1772816"/>
                        <a:chExt cx="1905000" cy="1257300"/>
                      </a:xfrm>
                    </a:grpSpPr>
                    <a:pic>
                      <a:nvPicPr>
                        <a:cNvPr id="4" name="Grafik 3" descr="Struktur von Propionsäure"/>
                        <a:cNvPicPr/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483768" y="1772816"/>
                          <a:ext cx="19050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cxnSp>
                      <a:nvCxnSpPr>
                        <a:cNvPr id="6" name="Gerade Verbindung mit Pfeil 5"/>
                        <a:cNvCxnSpPr/>
                      </a:nvCxnSpPr>
                      <a:spPr>
                        <a:xfrm>
                          <a:off x="3131840" y="2132856"/>
                          <a:ext cx="4320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" name="Textfeld 6"/>
                        <a:cNvSpPr txBox="1"/>
                      </a:nvSpPr>
                      <a:spPr>
                        <a:xfrm>
                          <a:off x="3131840" y="1844824"/>
                          <a:ext cx="50405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de-DE" dirty="0" smtClean="0"/>
                              <a:t>+I</a:t>
                            </a:r>
                            <a:endParaRPr lang="de-DE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F1E26" w:rsidRPr="008F1E26" w:rsidRDefault="008F1E26" w:rsidP="008F1E26">
      <w:pPr>
        <w:ind w:left="1410" w:hanging="1410"/>
        <w:jc w:val="both"/>
        <w:rPr>
          <w:rFonts w:asciiTheme="majorHAnsi" w:hAnsiTheme="majorHAnsi"/>
        </w:rPr>
      </w:pPr>
      <w:r w:rsidRPr="008F1E26">
        <w:rPr>
          <w:rFonts w:ascii="Cambria" w:hAnsi="Cambria"/>
          <w:color w:val="1D1B11" w:themeColor="background2" w:themeShade="1A"/>
        </w:rPr>
        <w:tab/>
      </w:r>
      <w:proofErr w:type="spellStart"/>
      <w:r w:rsidRPr="008F1E26">
        <w:rPr>
          <w:rFonts w:ascii="Cambria" w:hAnsi="Cambria"/>
          <w:color w:val="1D1B11" w:themeColor="background2" w:themeShade="1A"/>
        </w:rPr>
        <w:t>Abb</w:t>
      </w:r>
      <w:proofErr w:type="spellEnd"/>
      <w:r w:rsidRPr="008F1E26">
        <w:rPr>
          <w:rFonts w:ascii="Cambria" w:hAnsi="Cambria"/>
          <w:color w:val="1D1B11" w:themeColor="background2" w:themeShade="1A"/>
        </w:rPr>
        <w:t xml:space="preserve"> </w:t>
      </w:r>
      <w:r w:rsidR="006C2687">
        <w:rPr>
          <w:rFonts w:ascii="Cambria" w:hAnsi="Cambria"/>
          <w:color w:val="1D1B11" w:themeColor="background2" w:themeShade="1A"/>
        </w:rPr>
        <w:t>2</w:t>
      </w:r>
      <w:r w:rsidRPr="008F1E26">
        <w:rPr>
          <w:rFonts w:ascii="Cambria" w:hAnsi="Cambria"/>
          <w:color w:val="1D1B11" w:themeColor="background2" w:themeShade="1A"/>
        </w:rPr>
        <w:t>: Methansäure (a) und Essigsäure mit dem +I-Effekt (b)</w:t>
      </w:r>
    </w:p>
    <w:p w:rsidR="008F1E26" w:rsidRPr="008F1E26" w:rsidRDefault="008F1E26" w:rsidP="008F1E26">
      <w:pPr>
        <w:jc w:val="both"/>
        <w:rPr>
          <w:rFonts w:asciiTheme="majorHAnsi" w:hAnsiTheme="majorHAnsi"/>
        </w:rPr>
      </w:pPr>
    </w:p>
    <w:p w:rsidR="008F1E26" w:rsidRPr="008F1E26" w:rsidRDefault="008F1E26" w:rsidP="008F1E26">
      <w:pPr>
        <w:ind w:left="1410" w:hanging="1410"/>
        <w:jc w:val="both"/>
        <w:rPr>
          <w:rFonts w:asciiTheme="majorHAnsi" w:hAnsiTheme="majorHAnsi"/>
        </w:rPr>
      </w:pPr>
      <w:r w:rsidRPr="008F1E26">
        <w:rPr>
          <w:rFonts w:asciiTheme="majorHAnsi" w:hAnsiTheme="majorHAnsi"/>
        </w:rPr>
        <w:t>Entsorgung:</w:t>
      </w:r>
      <w:r w:rsidRPr="008F1E26">
        <w:rPr>
          <w:rFonts w:asciiTheme="majorHAnsi" w:hAnsiTheme="majorHAnsi"/>
        </w:rPr>
        <w:tab/>
        <w:t>Die Säuren werden über den Säure-Base-Abfall entsorgt.</w:t>
      </w:r>
    </w:p>
    <w:p w:rsidR="008F1E26" w:rsidRPr="008F1E26" w:rsidRDefault="008F1E26" w:rsidP="008F1E26">
      <w:pPr>
        <w:jc w:val="both"/>
        <w:rPr>
          <w:rFonts w:asciiTheme="majorHAnsi" w:hAnsiTheme="majorHAnsi"/>
        </w:rPr>
      </w:pPr>
    </w:p>
    <w:p w:rsidR="008F1E26" w:rsidRPr="008F1E26" w:rsidRDefault="008F1E26" w:rsidP="008F1E26">
      <w:pPr>
        <w:jc w:val="both"/>
        <w:rPr>
          <w:rFonts w:asciiTheme="majorHAnsi" w:hAnsiTheme="majorHAnsi"/>
        </w:rPr>
      </w:pPr>
      <w:r w:rsidRPr="008F1E26">
        <w:rPr>
          <w:rFonts w:asciiTheme="majorHAnsi" w:hAnsiTheme="majorHAnsi"/>
        </w:rPr>
        <w:t>Literatur:</w:t>
      </w:r>
      <w:r w:rsidRPr="008F1E26">
        <w:rPr>
          <w:rFonts w:asciiTheme="majorHAnsi" w:hAnsiTheme="majorHAnsi"/>
        </w:rPr>
        <w:tab/>
        <w:t>-</w:t>
      </w:r>
    </w:p>
    <w:p w:rsidR="008F1E26" w:rsidRPr="008F1E26" w:rsidRDefault="008F1E26" w:rsidP="008F1E26">
      <w:pPr>
        <w:jc w:val="both"/>
        <w:rPr>
          <w:rFonts w:asciiTheme="majorHAnsi" w:hAnsiTheme="majorHAnsi"/>
        </w:rPr>
      </w:pPr>
    </w:p>
    <w:p w:rsidR="0043384F" w:rsidRPr="008F1E26" w:rsidRDefault="000F58A1" w:rsidP="008F1E26">
      <w:pPr>
        <w:jc w:val="both"/>
        <w:rPr>
          <w:rFonts w:ascii="Cambria" w:hAnsi="Cambria"/>
          <w:color w:val="1D1B11" w:themeColor="background2" w:themeShade="1A"/>
        </w:rPr>
      </w:pPr>
      <w:r w:rsidRPr="000F58A1">
        <w:rPr>
          <w:rFonts w:asciiTheme="majorHAnsi" w:hAnsiTheme="majorHAnsi"/>
          <w:color w:val="FF0000"/>
        </w:rPr>
      </w:r>
      <w:r w:rsidRPr="000F58A1">
        <w:rPr>
          <w:rFonts w:asciiTheme="majorHAnsi" w:hAnsiTheme="majorHAnsi"/>
          <w:color w:val="FF0000"/>
        </w:rPr>
        <w:pict>
          <v:shape id="_x0000_s1076" type="#_x0000_t202" style="width:462.45pt;height:82.9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76">
              <w:txbxContent>
                <w:p w:rsidR="008F1E26" w:rsidRPr="008F1E26" w:rsidRDefault="008F1E26" w:rsidP="008F1E26">
                  <w:pPr>
                    <w:jc w:val="both"/>
                    <w:rPr>
                      <w:rFonts w:asciiTheme="majorHAnsi" w:hAnsiTheme="majorHAnsi"/>
                    </w:rPr>
                  </w:pPr>
                  <w:r w:rsidRPr="008F1E26">
                    <w:rPr>
                      <w:rFonts w:asciiTheme="majorHAnsi" w:hAnsiTheme="majorHAnsi"/>
                    </w:rPr>
                    <w:t>Durch diesen Versuch kann der Induktionseffekt eingeführt und besprochen werden, da er die Abnahme der Säurestärken sehr veranschaulichend darstellt.</w:t>
                  </w:r>
                </w:p>
                <w:p w:rsidR="008F1E26" w:rsidRPr="008F1E26" w:rsidRDefault="008F1E26" w:rsidP="008F1E26">
                  <w:pPr>
                    <w:jc w:val="both"/>
                    <w:rPr>
                      <w:rFonts w:asciiTheme="majorHAnsi" w:hAnsiTheme="majorHAnsi"/>
                    </w:rPr>
                  </w:pPr>
                  <w:r w:rsidRPr="008F1E26">
                    <w:rPr>
                      <w:rFonts w:asciiTheme="majorHAnsi" w:hAnsiTheme="majorHAnsi"/>
                    </w:rPr>
                    <w:t>Dieser Versuch sollte aufgrund der konzentrierten Säure von einer Lehrkraft durchgeführt werden. Es kann außerdem zu einer starken Geruchsbelastung kommen.</w:t>
                  </w:r>
                </w:p>
              </w:txbxContent>
            </v:textbox>
            <w10:wrap type="none"/>
            <w10:anchorlock/>
          </v:shape>
        </w:pict>
      </w:r>
    </w:p>
    <w:sectPr w:rsidR="0043384F" w:rsidRPr="008F1E26" w:rsidSect="001A22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56" w:rsidRDefault="00D71A56" w:rsidP="000B77F4">
      <w:pPr>
        <w:spacing w:line="240" w:lineRule="auto"/>
      </w:pPr>
      <w:r>
        <w:separator/>
      </w:r>
    </w:p>
  </w:endnote>
  <w:endnote w:type="continuationSeparator" w:id="0">
    <w:p w:rsidR="00D71A56" w:rsidRDefault="00D71A56" w:rsidP="000B7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26" w:rsidRDefault="008F1E2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26" w:rsidRDefault="008F1E2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26" w:rsidRDefault="008F1E2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56" w:rsidRDefault="00D71A56" w:rsidP="000B77F4">
      <w:pPr>
        <w:spacing w:line="240" w:lineRule="auto"/>
      </w:pPr>
      <w:r>
        <w:separator/>
      </w:r>
    </w:p>
  </w:footnote>
  <w:footnote w:type="continuationSeparator" w:id="0">
    <w:p w:rsidR="00D71A56" w:rsidRDefault="00D71A56" w:rsidP="000B77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26" w:rsidRDefault="008F1E2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84343485"/>
      <w:docPartObj>
        <w:docPartGallery w:val="Page Numbers (Top of Page)"/>
        <w:docPartUnique/>
      </w:docPartObj>
    </w:sdtPr>
    <w:sdtContent>
      <w:p w:rsidR="000B77F4" w:rsidRPr="00C81839" w:rsidRDefault="00814C93" w:rsidP="000B77F4">
        <w:pPr>
          <w:pStyle w:val="Kopfzeile"/>
          <w:rPr>
            <w:rFonts w:asciiTheme="majorHAnsi" w:hAnsiTheme="majorHAnsi"/>
          </w:rPr>
        </w:pPr>
        <w:r w:rsidRPr="00C81839">
          <w:rPr>
            <w:rFonts w:asciiTheme="majorHAnsi" w:hAnsiTheme="majorHAnsi"/>
          </w:rPr>
          <w:t xml:space="preserve">V </w:t>
        </w:r>
        <w:r w:rsidR="008F1E26" w:rsidRPr="00C81839">
          <w:rPr>
            <w:rFonts w:asciiTheme="majorHAnsi" w:hAnsiTheme="majorHAnsi"/>
          </w:rPr>
          <w:t>5</w:t>
        </w:r>
        <w:r w:rsidR="000B77F4" w:rsidRPr="00C81839">
          <w:rPr>
            <w:rFonts w:asciiTheme="majorHAnsi" w:hAnsiTheme="majorHAnsi"/>
          </w:rPr>
          <w:t xml:space="preserve"> – </w:t>
        </w:r>
        <w:r w:rsidR="008F1E26" w:rsidRPr="00C81839">
          <w:rPr>
            <w:rFonts w:asciiTheme="majorHAnsi" w:hAnsiTheme="majorHAnsi"/>
          </w:rPr>
          <w:t>Induktionseffekt der Alkansäuren</w:t>
        </w:r>
        <w:r w:rsidR="000B77F4" w:rsidRPr="00C81839">
          <w:rPr>
            <w:rFonts w:asciiTheme="majorHAnsi" w:hAnsiTheme="majorHAnsi"/>
          </w:rPr>
          <w:tab/>
        </w:r>
        <w:r w:rsidR="000B77F4" w:rsidRPr="00C81839">
          <w:rPr>
            <w:rFonts w:asciiTheme="majorHAnsi" w:hAnsiTheme="majorHAnsi"/>
          </w:rPr>
          <w:tab/>
          <w:t xml:space="preserve"> </w:t>
        </w:r>
        <w:r w:rsidR="000F58A1" w:rsidRPr="00C81839">
          <w:rPr>
            <w:rFonts w:asciiTheme="majorHAnsi" w:hAnsiTheme="majorHAnsi"/>
          </w:rPr>
          <w:fldChar w:fldCharType="begin"/>
        </w:r>
        <w:r w:rsidR="00344590" w:rsidRPr="00C81839">
          <w:rPr>
            <w:rFonts w:asciiTheme="majorHAnsi" w:hAnsiTheme="majorHAnsi"/>
          </w:rPr>
          <w:instrText xml:space="preserve"> PAGE   \* MERGEFORMAT </w:instrText>
        </w:r>
        <w:r w:rsidR="000F58A1" w:rsidRPr="00C81839">
          <w:rPr>
            <w:rFonts w:asciiTheme="majorHAnsi" w:hAnsiTheme="majorHAnsi"/>
          </w:rPr>
          <w:fldChar w:fldCharType="separate"/>
        </w:r>
        <w:r w:rsidR="006C2687">
          <w:rPr>
            <w:rFonts w:asciiTheme="majorHAnsi" w:hAnsiTheme="majorHAnsi"/>
            <w:noProof/>
          </w:rPr>
          <w:t>1</w:t>
        </w:r>
        <w:r w:rsidR="000F58A1" w:rsidRPr="00C81839">
          <w:rPr>
            <w:rFonts w:asciiTheme="majorHAnsi" w:hAnsiTheme="majorHAnsi"/>
          </w:rPr>
          <w:fldChar w:fldCharType="end"/>
        </w:r>
      </w:p>
    </w:sdtContent>
  </w:sdt>
  <w:p w:rsidR="000B77F4" w:rsidRDefault="000F58A1">
    <w:pPr>
      <w:pStyle w:val="Kopfzeile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.35pt;margin-top:3.05pt;width:462pt;height:.05pt;flip:x;z-index:251660288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26" w:rsidRDefault="008F1E2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7D4"/>
    <w:multiLevelType w:val="hybridMultilevel"/>
    <w:tmpl w:val="D18A4DA2"/>
    <w:lvl w:ilvl="0" w:tplc="976484A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B77F4"/>
    <w:rsid w:val="000B77F4"/>
    <w:rsid w:val="000F58A1"/>
    <w:rsid w:val="00105A20"/>
    <w:rsid w:val="001461C9"/>
    <w:rsid w:val="001A2281"/>
    <w:rsid w:val="00282CE5"/>
    <w:rsid w:val="002E1808"/>
    <w:rsid w:val="00344590"/>
    <w:rsid w:val="003B6C23"/>
    <w:rsid w:val="00475B77"/>
    <w:rsid w:val="005A32BD"/>
    <w:rsid w:val="006C2687"/>
    <w:rsid w:val="006C32AC"/>
    <w:rsid w:val="00814C93"/>
    <w:rsid w:val="008F1E26"/>
    <w:rsid w:val="008F1F3C"/>
    <w:rsid w:val="00984870"/>
    <w:rsid w:val="009C761D"/>
    <w:rsid w:val="00C81839"/>
    <w:rsid w:val="00D71A56"/>
    <w:rsid w:val="00F8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281"/>
  </w:style>
  <w:style w:type="paragraph" w:styleId="berschrift1">
    <w:name w:val="heading 1"/>
    <w:basedOn w:val="Standard"/>
    <w:next w:val="Standard"/>
    <w:link w:val="berschrift1Zchn"/>
    <w:uiPriority w:val="9"/>
    <w:rsid w:val="00F853BB"/>
    <w:pPr>
      <w:keepNext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BB"/>
    <w:rPr>
      <w:rFonts w:ascii="Arial" w:eastAsiaTheme="majorEastAsia" w:hAnsi="Arial" w:cstheme="majorBidi"/>
      <w:b/>
      <w:bCs/>
      <w:kern w:val="32"/>
      <w:sz w:val="22"/>
      <w:szCs w:val="32"/>
      <w:lang w:eastAsia="en-US"/>
    </w:rPr>
  </w:style>
  <w:style w:type="table" w:styleId="Tabellengitternetz">
    <w:name w:val="Table Grid"/>
    <w:basedOn w:val="NormaleTabelle"/>
    <w:uiPriority w:val="59"/>
    <w:rsid w:val="000B77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7F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B77F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77F4"/>
  </w:style>
  <w:style w:type="paragraph" w:styleId="Fuzeile">
    <w:name w:val="footer"/>
    <w:basedOn w:val="Standard"/>
    <w:link w:val="FuzeileZchn"/>
    <w:uiPriority w:val="99"/>
    <w:semiHidden/>
    <w:unhideWhenUsed/>
    <w:rsid w:val="000B77F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7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2013-08-12T15:44:00Z</dcterms:created>
  <dcterms:modified xsi:type="dcterms:W3CDTF">2013-08-12T16:13:00Z</dcterms:modified>
</cp:coreProperties>
</file>