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97D" w:rsidRPr="006D497D" w:rsidRDefault="005F21FB" w:rsidP="006D497D">
      <w:pPr>
        <w:keepNext/>
        <w:keepLines/>
        <w:numPr>
          <w:ilvl w:val="1"/>
          <w:numId w:val="0"/>
        </w:numPr>
        <w:ind w:left="576" w:hanging="576"/>
        <w:jc w:val="both"/>
        <w:outlineLvl w:val="1"/>
        <w:rPr>
          <w:rFonts w:asciiTheme="majorHAnsi" w:eastAsiaTheme="majorEastAsia" w:hAnsiTheme="majorHAnsi" w:cstheme="majorBidi"/>
          <w:b/>
          <w:bCs/>
          <w:color w:val="1D1B11" w:themeColor="background2" w:themeShade="1A"/>
          <w:szCs w:val="26"/>
        </w:rPr>
      </w:pPr>
      <w:r>
        <w:rPr>
          <w:rFonts w:asciiTheme="majorHAnsi" w:eastAsiaTheme="majorEastAsia" w:hAnsiTheme="majorHAnsi" w:cstheme="majorBidi"/>
          <w:b/>
          <w:bCs/>
          <w:noProof/>
          <w:color w:val="1D1B11" w:themeColor="background2" w:themeShade="1A"/>
          <w:szCs w:val="26"/>
          <w:lang w:eastAsia="de-DE"/>
        </w:rPr>
        <w:pict>
          <v:shapetype id="_x0000_t202" coordsize="21600,21600" o:spt="202" path="m,l,21600r21600,l21600,xe">
            <v:stroke joinstyle="miter"/>
            <v:path gradientshapeok="t" o:connecttype="rect"/>
          </v:shapetype>
          <v:shape id="_x0000_s1083" type="#_x0000_t202" style="position:absolute;left:0;text-align:left;margin-left:1.45pt;margin-top:22.45pt;width:462.45pt;height:121.2pt;z-index:251660288;mso-width-relative:margin;mso-height-relative:margin" fillcolor="white [3201]" strokecolor="#4bacc6 [3208]" strokeweight="1pt">
            <v:stroke dashstyle="dash"/>
            <v:shadow color="#868686"/>
            <v:textbox style="mso-next-textbox:#_x0000_s1083">
              <w:txbxContent>
                <w:p w:rsidR="006D497D" w:rsidRPr="006D497D" w:rsidRDefault="006D497D" w:rsidP="006D497D">
                  <w:pPr>
                    <w:jc w:val="both"/>
                    <w:rPr>
                      <w:rFonts w:asciiTheme="majorHAnsi" w:hAnsiTheme="majorHAnsi"/>
                    </w:rPr>
                  </w:pPr>
                  <w:r w:rsidRPr="006D497D">
                    <w:rPr>
                      <w:rFonts w:asciiTheme="majorHAnsi" w:hAnsiTheme="majorHAnsi"/>
                    </w:rPr>
                    <w:t>Dieser Versuch soll die Kohlenstoffdioxidfreisetzung bei der Reaktion einer Carbonsäure mit Backpulver belegen. Er ist eher als Showversuch und Motivation für die SuS gedacht und deshalb in den „Ameisenmythos“ verpackt.</w:t>
                  </w:r>
                </w:p>
                <w:p w:rsidR="006D497D" w:rsidRPr="006D497D" w:rsidRDefault="006D497D" w:rsidP="006D497D">
                  <w:pPr>
                    <w:jc w:val="both"/>
                    <w:rPr>
                      <w:rFonts w:asciiTheme="majorHAnsi" w:hAnsiTheme="majorHAnsi"/>
                    </w:rPr>
                  </w:pPr>
                  <w:r w:rsidRPr="006D497D">
                    <w:rPr>
                      <w:rFonts w:asciiTheme="majorHAnsi" w:hAnsiTheme="majorHAnsi"/>
                    </w:rPr>
                    <w:t xml:space="preserve">Die SuS sollten die Säure-Base-Theorie nach </w:t>
                  </w:r>
                  <w:proofErr w:type="spellStart"/>
                  <w:r w:rsidRPr="006D497D">
                    <w:rPr>
                      <w:rFonts w:asciiTheme="majorHAnsi" w:hAnsiTheme="majorHAnsi"/>
                    </w:rPr>
                    <w:t>Brönsted</w:t>
                  </w:r>
                  <w:proofErr w:type="spellEnd"/>
                  <w:r w:rsidRPr="006D497D">
                    <w:rPr>
                      <w:rFonts w:asciiTheme="majorHAnsi" w:hAnsiTheme="majorHAnsi"/>
                    </w:rPr>
                    <w:t xml:space="preserve"> bekannt sein. Die Erarbeitung der Deutung wird außerdem vereinfacht, wenn die SuS die Summenformeln von Ameisensäure und Natriumhydrogencarbonat kennen.</w:t>
                  </w:r>
                </w:p>
              </w:txbxContent>
            </v:textbox>
            <w10:wrap type="square"/>
          </v:shape>
        </w:pict>
      </w:r>
      <w:bookmarkStart w:id="0" w:name="_Toc364088939"/>
      <w:r w:rsidR="006D497D" w:rsidRPr="006D497D">
        <w:rPr>
          <w:rFonts w:asciiTheme="majorHAnsi" w:eastAsiaTheme="majorEastAsia" w:hAnsiTheme="majorHAnsi" w:cstheme="majorBidi"/>
          <w:b/>
          <w:bCs/>
          <w:color w:val="1D1B11" w:themeColor="background2" w:themeShade="1A"/>
          <w:szCs w:val="26"/>
        </w:rPr>
        <w:t>V 6 – Die Ameisenbombe</w:t>
      </w:r>
      <w:bookmarkEnd w:id="0"/>
    </w:p>
    <w:p w:rsidR="006D497D" w:rsidRPr="006D497D" w:rsidRDefault="006D497D" w:rsidP="006D497D">
      <w:pPr>
        <w:jc w:val="both"/>
        <w:rPr>
          <w:rFonts w:asciiTheme="majorHAnsi" w:hAnsiTheme="majorHAnsi"/>
          <w:color w:val="FF0000"/>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6D497D" w:rsidRPr="006D497D" w:rsidTr="00AF3449">
        <w:tc>
          <w:tcPr>
            <w:tcW w:w="9322" w:type="dxa"/>
            <w:gridSpan w:val="9"/>
            <w:shd w:val="clear" w:color="auto" w:fill="4F81BD"/>
            <w:vAlign w:val="center"/>
          </w:tcPr>
          <w:p w:rsidR="006D497D" w:rsidRPr="006D497D" w:rsidRDefault="006D497D" w:rsidP="006D497D">
            <w:pPr>
              <w:jc w:val="both"/>
              <w:rPr>
                <w:rFonts w:asciiTheme="majorHAnsi" w:hAnsiTheme="majorHAnsi"/>
                <w:b/>
                <w:bCs/>
              </w:rPr>
            </w:pPr>
            <w:r w:rsidRPr="006D497D">
              <w:rPr>
                <w:rFonts w:asciiTheme="majorHAnsi" w:hAnsiTheme="majorHAnsi"/>
                <w:b/>
                <w:bCs/>
              </w:rPr>
              <w:t>Gefahrenstoffe</w:t>
            </w:r>
          </w:p>
        </w:tc>
      </w:tr>
      <w:tr w:rsidR="006D497D" w:rsidRPr="006D497D" w:rsidTr="00AF344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D497D" w:rsidRPr="006D497D" w:rsidRDefault="006D497D" w:rsidP="006D497D">
            <w:pPr>
              <w:jc w:val="both"/>
              <w:rPr>
                <w:rFonts w:asciiTheme="majorHAnsi" w:hAnsiTheme="majorHAnsi"/>
                <w:b/>
                <w:bCs/>
              </w:rPr>
            </w:pPr>
            <w:r w:rsidRPr="006D497D">
              <w:rPr>
                <w:rFonts w:asciiTheme="majorHAnsi" w:hAnsiTheme="majorHAnsi"/>
              </w:rPr>
              <w:t>Ameisensäure</w:t>
            </w:r>
          </w:p>
        </w:tc>
        <w:tc>
          <w:tcPr>
            <w:tcW w:w="3177" w:type="dxa"/>
            <w:gridSpan w:val="3"/>
            <w:tcBorders>
              <w:top w:val="single" w:sz="8" w:space="0" w:color="4F81BD"/>
              <w:bottom w:val="single" w:sz="8" w:space="0" w:color="4F81BD"/>
            </w:tcBorders>
            <w:shd w:val="clear" w:color="auto" w:fill="auto"/>
            <w:vAlign w:val="center"/>
          </w:tcPr>
          <w:p w:rsidR="006D497D" w:rsidRPr="006D497D" w:rsidRDefault="006D497D" w:rsidP="006D497D">
            <w:pPr>
              <w:jc w:val="both"/>
              <w:rPr>
                <w:rFonts w:asciiTheme="majorHAnsi" w:hAnsiTheme="majorHAnsi"/>
              </w:rPr>
            </w:pPr>
            <w:r w:rsidRPr="006D497D">
              <w:rPr>
                <w:rFonts w:asciiTheme="majorHAnsi" w:hAnsiTheme="majorHAnsi"/>
              </w:rPr>
              <w:t>H: 226,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D497D" w:rsidRPr="006D497D" w:rsidRDefault="006D497D" w:rsidP="006D497D">
            <w:pPr>
              <w:jc w:val="both"/>
              <w:rPr>
                <w:rFonts w:asciiTheme="majorHAnsi" w:hAnsiTheme="majorHAnsi"/>
              </w:rPr>
            </w:pPr>
            <w:r w:rsidRPr="006D497D">
              <w:rPr>
                <w:rFonts w:asciiTheme="majorHAnsi" w:hAnsiTheme="majorHAnsi"/>
              </w:rPr>
              <w:t>P: 260, 280, 301+330+331, 305+351+338, 309, 310</w:t>
            </w:r>
          </w:p>
        </w:tc>
      </w:tr>
      <w:tr w:rsidR="006D497D" w:rsidRPr="006D497D" w:rsidTr="00AF344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D497D" w:rsidRPr="006D497D" w:rsidRDefault="006D497D" w:rsidP="006D497D">
            <w:pPr>
              <w:jc w:val="both"/>
              <w:rPr>
                <w:rFonts w:asciiTheme="majorHAnsi" w:hAnsiTheme="majorHAnsi"/>
              </w:rPr>
            </w:pPr>
            <w:r w:rsidRPr="006D497D">
              <w:rPr>
                <w:rFonts w:asciiTheme="majorHAnsi" w:hAnsiTheme="majorHAnsi"/>
              </w:rPr>
              <w:t>Natriumhydrogencarbonat</w:t>
            </w:r>
          </w:p>
        </w:tc>
        <w:tc>
          <w:tcPr>
            <w:tcW w:w="3177" w:type="dxa"/>
            <w:gridSpan w:val="3"/>
            <w:tcBorders>
              <w:top w:val="single" w:sz="8" w:space="0" w:color="4F81BD"/>
              <w:bottom w:val="single" w:sz="8" w:space="0" w:color="4F81BD"/>
            </w:tcBorders>
            <w:shd w:val="clear" w:color="auto" w:fill="auto"/>
            <w:vAlign w:val="center"/>
          </w:tcPr>
          <w:p w:rsidR="006D497D" w:rsidRPr="006D497D" w:rsidRDefault="006D497D" w:rsidP="006D497D">
            <w:pPr>
              <w:jc w:val="both"/>
              <w:rPr>
                <w:rFonts w:asciiTheme="majorHAnsi" w:hAnsiTheme="majorHAnsi"/>
              </w:rPr>
            </w:pPr>
            <w:r w:rsidRPr="006D497D">
              <w:rPr>
                <w:rFonts w:asciiTheme="majorHAnsi" w:hAnsiTheme="majorHAnsi"/>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D497D" w:rsidRPr="006D497D" w:rsidRDefault="006D497D" w:rsidP="006D497D">
            <w:pPr>
              <w:jc w:val="both"/>
              <w:rPr>
                <w:rFonts w:asciiTheme="majorHAnsi" w:hAnsiTheme="majorHAnsi"/>
              </w:rPr>
            </w:pPr>
            <w:r w:rsidRPr="006D497D">
              <w:rPr>
                <w:rFonts w:asciiTheme="majorHAnsi" w:hAnsiTheme="majorHAnsi"/>
              </w:rPr>
              <w:t>P: -</w:t>
            </w:r>
          </w:p>
        </w:tc>
      </w:tr>
      <w:tr w:rsidR="006D497D" w:rsidRPr="006D497D" w:rsidTr="00AF3449">
        <w:tc>
          <w:tcPr>
            <w:tcW w:w="1009" w:type="dxa"/>
            <w:tcBorders>
              <w:top w:val="single" w:sz="8" w:space="0" w:color="4F81BD"/>
              <w:left w:val="single" w:sz="8" w:space="0" w:color="4F81BD"/>
              <w:bottom w:val="single" w:sz="8" w:space="0" w:color="4F81BD"/>
            </w:tcBorders>
            <w:shd w:val="clear" w:color="auto" w:fill="auto"/>
            <w:vAlign w:val="center"/>
          </w:tcPr>
          <w:p w:rsidR="006D497D" w:rsidRPr="006D497D" w:rsidRDefault="006D497D" w:rsidP="006D497D">
            <w:pPr>
              <w:jc w:val="both"/>
              <w:rPr>
                <w:rFonts w:asciiTheme="majorHAnsi" w:hAnsiTheme="majorHAnsi"/>
                <w:b/>
                <w:bCs/>
                <w:color w:val="FF0000"/>
              </w:rPr>
            </w:pPr>
            <w:r w:rsidRPr="006D497D">
              <w:rPr>
                <w:rFonts w:asciiTheme="majorHAnsi" w:hAnsiTheme="majorHAnsi"/>
                <w:b/>
                <w:noProof/>
                <w:color w:val="FF0000"/>
                <w:lang w:eastAsia="de-DE"/>
              </w:rPr>
              <w:drawing>
                <wp:inline distT="0" distB="0" distL="0" distR="0">
                  <wp:extent cx="538061" cy="540000"/>
                  <wp:effectExtent l="0" t="0" r="0" b="0"/>
                  <wp:docPr id="335"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7" cstate="print"/>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D497D" w:rsidRPr="006D497D" w:rsidRDefault="006D497D" w:rsidP="006D497D">
            <w:pPr>
              <w:jc w:val="both"/>
              <w:rPr>
                <w:rFonts w:asciiTheme="majorHAnsi" w:hAnsiTheme="majorHAnsi"/>
                <w:color w:val="FF0000"/>
              </w:rPr>
            </w:pPr>
            <w:r w:rsidRPr="006D497D">
              <w:rPr>
                <w:rFonts w:asciiTheme="majorHAnsi" w:hAnsiTheme="majorHAnsi"/>
                <w:noProof/>
                <w:color w:val="FF0000"/>
                <w:lang w:eastAsia="de-DE"/>
              </w:rPr>
              <w:drawing>
                <wp:inline distT="0" distB="0" distL="0" distR="0">
                  <wp:extent cx="538321" cy="540000"/>
                  <wp:effectExtent l="0" t="0" r="0" b="0"/>
                  <wp:docPr id="336" name="Bild 7" descr="C:\Users\TOSHIBA\Desktop\SVP_Chemie\Protokoll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SHIBA\Desktop\SVP_Chemie\Protokolle\Piktogramme\Brandfördernd.png"/>
                          <pic:cNvPicPr>
                            <a:picLocks noChangeAspect="1" noChangeArrowheads="1"/>
                          </pic:cNvPicPr>
                        </pic:nvPicPr>
                        <pic:blipFill>
                          <a:blip r:embed="rId8" cstate="print">
                            <a:duotone>
                              <a:schemeClr val="bg2">
                                <a:shade val="45000"/>
                                <a:satMod val="135000"/>
                              </a:schemeClr>
                              <a:prstClr val="white"/>
                            </a:duotone>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D497D" w:rsidRPr="006D497D" w:rsidRDefault="006D497D" w:rsidP="006D497D">
            <w:pPr>
              <w:jc w:val="both"/>
              <w:rPr>
                <w:rFonts w:asciiTheme="majorHAnsi" w:hAnsiTheme="majorHAnsi"/>
                <w:color w:val="FF0000"/>
              </w:rPr>
            </w:pPr>
            <w:r w:rsidRPr="006D497D">
              <w:rPr>
                <w:rFonts w:asciiTheme="majorHAnsi" w:hAnsiTheme="majorHAnsi"/>
                <w:noProof/>
                <w:color w:val="FF0000"/>
                <w:lang w:eastAsia="de-DE"/>
              </w:rPr>
              <w:drawing>
                <wp:inline distT="0" distB="0" distL="0" distR="0">
                  <wp:extent cx="540000" cy="551986"/>
                  <wp:effectExtent l="19050" t="0" r="0" b="0"/>
                  <wp:docPr id="337" name="Bild 8" descr="C:\Users\TOSHIBA\Desktop\SVP_Chemie\Protokoll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OSHIBA\Desktop\SVP_Chemie\Protokolle\Piktogramme\Brennbar.png"/>
                          <pic:cNvPicPr>
                            <a:picLocks noChangeAspect="1" noChangeArrowheads="1"/>
                          </pic:cNvPicPr>
                        </pic:nvPicPr>
                        <pic:blipFill>
                          <a:blip r:embed="rId9" cstate="print"/>
                          <a:srcRect/>
                          <a:stretch>
                            <a:fillRect/>
                          </a:stretch>
                        </pic:blipFill>
                        <pic:spPr bwMode="auto">
                          <a:xfrm>
                            <a:off x="0" y="0"/>
                            <a:ext cx="540000" cy="55198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D497D" w:rsidRPr="006D497D" w:rsidRDefault="006D497D" w:rsidP="006D497D">
            <w:pPr>
              <w:jc w:val="both"/>
              <w:rPr>
                <w:rFonts w:asciiTheme="majorHAnsi" w:hAnsiTheme="majorHAnsi"/>
                <w:color w:val="FF0000"/>
              </w:rPr>
            </w:pPr>
            <w:r w:rsidRPr="006D497D">
              <w:rPr>
                <w:rFonts w:asciiTheme="majorHAnsi" w:hAnsiTheme="majorHAnsi"/>
                <w:noProof/>
                <w:color w:val="FF0000"/>
                <w:lang w:eastAsia="de-DE"/>
              </w:rPr>
              <w:drawing>
                <wp:inline distT="0" distB="0" distL="0" distR="0">
                  <wp:extent cx="538320" cy="540000"/>
                  <wp:effectExtent l="0" t="0" r="0" b="0"/>
                  <wp:docPr id="338" name="Bild 9" descr="C:\Users\TOSHIBA\Desktop\SVP_Chemie\Protokoll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SHIBA\Desktop\SVP_Chemie\Protokolle\Piktogramme\Explosionsgefahr.png"/>
                          <pic:cNvPicPr>
                            <a:picLocks noChangeAspect="1" noChangeArrowheads="1"/>
                          </pic:cNvPicPr>
                        </pic:nvPicPr>
                        <pic:blipFill>
                          <a:blip r:embed="rId10" cstate="print">
                            <a:duotone>
                              <a:schemeClr val="bg2">
                                <a:shade val="45000"/>
                                <a:satMod val="135000"/>
                              </a:schemeClr>
                              <a:prstClr val="white"/>
                            </a:duotone>
                          </a:blip>
                          <a:srcRect/>
                          <a:stretch>
                            <a:fillRect/>
                          </a:stretch>
                        </pic:blipFill>
                        <pic:spPr bwMode="auto">
                          <a:xfrm>
                            <a:off x="0" y="0"/>
                            <a:ext cx="538320" cy="54000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6D497D" w:rsidRPr="006D497D" w:rsidRDefault="006D497D" w:rsidP="006D497D">
            <w:pPr>
              <w:jc w:val="both"/>
              <w:rPr>
                <w:rFonts w:asciiTheme="majorHAnsi" w:hAnsiTheme="majorHAnsi"/>
                <w:color w:val="FF0000"/>
              </w:rPr>
            </w:pPr>
            <w:r w:rsidRPr="006D497D">
              <w:rPr>
                <w:rFonts w:asciiTheme="majorHAnsi" w:hAnsiTheme="majorHAnsi"/>
                <w:noProof/>
                <w:color w:val="FF0000"/>
                <w:lang w:eastAsia="de-DE"/>
              </w:rPr>
              <w:drawing>
                <wp:inline distT="0" distB="0" distL="0" distR="0">
                  <wp:extent cx="538321" cy="540000"/>
                  <wp:effectExtent l="0" t="0" r="0" b="0"/>
                  <wp:docPr id="339" name="Bild 10" descr="C:\Users\TOSHIBA\Desktop\SVP_Chemie\Protokoll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SHIBA\Desktop\SVP_Chemie\Protokolle\Piktogramme\Gasflasche.png"/>
                          <pic:cNvPicPr>
                            <a:picLocks noChangeAspect="1" noChangeArrowheads="1"/>
                          </pic:cNvPicPr>
                        </pic:nvPicPr>
                        <pic:blipFill>
                          <a:blip r:embed="rId11" cstate="print">
                            <a:duotone>
                              <a:schemeClr val="bg2">
                                <a:shade val="45000"/>
                                <a:satMod val="135000"/>
                              </a:schemeClr>
                              <a:prstClr val="white"/>
                            </a:duotone>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6D497D" w:rsidRPr="006D497D" w:rsidRDefault="006D497D" w:rsidP="006D497D">
            <w:pPr>
              <w:jc w:val="both"/>
              <w:rPr>
                <w:rFonts w:asciiTheme="majorHAnsi" w:hAnsiTheme="majorHAnsi"/>
                <w:color w:val="FF0000"/>
              </w:rPr>
            </w:pPr>
            <w:r w:rsidRPr="006D497D">
              <w:rPr>
                <w:rFonts w:asciiTheme="majorHAnsi" w:hAnsiTheme="majorHAnsi"/>
                <w:noProof/>
                <w:color w:val="FF0000"/>
                <w:lang w:eastAsia="de-DE"/>
              </w:rPr>
              <w:drawing>
                <wp:inline distT="0" distB="0" distL="0" distR="0">
                  <wp:extent cx="539491" cy="540000"/>
                  <wp:effectExtent l="0" t="0" r="0" b="0"/>
                  <wp:docPr id="340" name="Bild 11" descr="C:\Users\TOSHIBA\Desktop\SVP_Chemie\Protokol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SHIBA\Desktop\SVP_Chemie\Protokolle\Piktogramme\Gesundheitsgefahr.png"/>
                          <pic:cNvPicPr>
                            <a:picLocks noChangeAspect="1" noChangeArrowheads="1"/>
                          </pic:cNvPicPr>
                        </pic:nvPicPr>
                        <pic:blipFill>
                          <a:blip r:embed="rId12"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6D497D" w:rsidRPr="006D497D" w:rsidRDefault="006D497D" w:rsidP="006D497D">
            <w:pPr>
              <w:jc w:val="both"/>
              <w:rPr>
                <w:rFonts w:asciiTheme="majorHAnsi" w:hAnsiTheme="majorHAnsi"/>
                <w:color w:val="FF0000"/>
              </w:rPr>
            </w:pPr>
            <w:r w:rsidRPr="006D497D">
              <w:rPr>
                <w:rFonts w:asciiTheme="majorHAnsi" w:hAnsiTheme="majorHAnsi"/>
                <w:noProof/>
                <w:color w:val="FF0000"/>
                <w:lang w:eastAsia="de-DE"/>
              </w:rPr>
              <w:drawing>
                <wp:inline distT="0" distB="0" distL="0" distR="0">
                  <wp:extent cx="539491" cy="540000"/>
                  <wp:effectExtent l="0" t="0" r="0" b="0"/>
                  <wp:docPr id="341" name="Bild 12" descr="C:\Users\TOSHIBA\Desktop\SVP_Chemie\Protokoll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OSHIBA\Desktop\SVP_Chemie\Protokolle\Piktogramme\Giftig.png"/>
                          <pic:cNvPicPr>
                            <a:picLocks noChangeAspect="1" noChangeArrowheads="1"/>
                          </pic:cNvPicPr>
                        </pic:nvPicPr>
                        <pic:blipFill>
                          <a:blip r:embed="rId13"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D497D" w:rsidRPr="006D497D" w:rsidRDefault="006D497D" w:rsidP="006D497D">
            <w:pPr>
              <w:jc w:val="both"/>
              <w:rPr>
                <w:rFonts w:asciiTheme="majorHAnsi" w:hAnsiTheme="majorHAnsi"/>
                <w:color w:val="FF0000"/>
              </w:rPr>
            </w:pPr>
            <w:r w:rsidRPr="006D497D">
              <w:rPr>
                <w:rFonts w:asciiTheme="majorHAnsi" w:hAnsiTheme="majorHAnsi"/>
                <w:noProof/>
                <w:color w:val="FF0000"/>
                <w:lang w:eastAsia="de-DE"/>
              </w:rPr>
              <w:drawing>
                <wp:inline distT="0" distB="0" distL="0" distR="0">
                  <wp:extent cx="539999" cy="540000"/>
                  <wp:effectExtent l="0" t="0" r="0" b="0"/>
                  <wp:docPr id="34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cstate="print">
                            <a:duotone>
                              <a:schemeClr val="bg2">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39999"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6D497D" w:rsidRPr="006D497D" w:rsidRDefault="006D497D" w:rsidP="006D497D">
            <w:pPr>
              <w:jc w:val="both"/>
              <w:rPr>
                <w:rFonts w:asciiTheme="majorHAnsi" w:hAnsiTheme="majorHAnsi"/>
                <w:color w:val="FF0000"/>
              </w:rPr>
            </w:pPr>
            <w:r w:rsidRPr="006D497D">
              <w:rPr>
                <w:rFonts w:asciiTheme="majorHAnsi" w:hAnsiTheme="majorHAnsi"/>
                <w:noProof/>
                <w:color w:val="FF0000"/>
                <w:lang w:eastAsia="de-DE"/>
              </w:rPr>
              <w:drawing>
                <wp:inline distT="0" distB="0" distL="0" distR="0">
                  <wp:extent cx="539491" cy="540000"/>
                  <wp:effectExtent l="0" t="0" r="0" b="0"/>
                  <wp:docPr id="343" name="Bild 13" descr="C:\Users\TOSHIBA\Desktop\SVP_Chemie\Protokoll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OSHIBA\Desktop\SVP_Chemie\Protokolle\Piktogramme\Umweltgefahr.png"/>
                          <pic:cNvPicPr>
                            <a:picLocks noChangeAspect="1" noChangeArrowheads="1"/>
                          </pic:cNvPicPr>
                        </pic:nvPicPr>
                        <pic:blipFill>
                          <a:blip r:embed="rId15"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r>
    </w:tbl>
    <w:p w:rsidR="006D497D" w:rsidRPr="006D497D" w:rsidRDefault="006D497D" w:rsidP="006D497D">
      <w:pPr>
        <w:jc w:val="both"/>
        <w:rPr>
          <w:rFonts w:asciiTheme="majorHAnsi" w:hAnsiTheme="majorHAnsi"/>
        </w:rPr>
      </w:pPr>
    </w:p>
    <w:p w:rsidR="006D497D" w:rsidRDefault="006D497D" w:rsidP="006D497D">
      <w:pPr>
        <w:ind w:left="1410" w:hanging="1410"/>
        <w:jc w:val="both"/>
        <w:rPr>
          <w:rFonts w:asciiTheme="majorHAnsi" w:hAnsiTheme="majorHAnsi"/>
        </w:rPr>
      </w:pPr>
      <w:r w:rsidRPr="006D497D">
        <w:rPr>
          <w:rFonts w:asciiTheme="majorHAnsi" w:hAnsiTheme="majorHAnsi"/>
        </w:rPr>
        <w:t xml:space="preserve">Materialien: </w:t>
      </w:r>
      <w:r w:rsidRPr="006D497D">
        <w:rPr>
          <w:rFonts w:asciiTheme="majorHAnsi" w:hAnsiTheme="majorHAnsi"/>
        </w:rPr>
        <w:tab/>
        <w:t>ein kleiner Behälter (Kaugummidose)</w:t>
      </w:r>
    </w:p>
    <w:p w:rsidR="006D497D" w:rsidRPr="006D497D" w:rsidRDefault="006D497D" w:rsidP="006D497D">
      <w:pPr>
        <w:ind w:left="1410" w:hanging="1410"/>
        <w:jc w:val="both"/>
        <w:rPr>
          <w:rFonts w:asciiTheme="majorHAnsi" w:hAnsiTheme="majorHAnsi"/>
        </w:rPr>
      </w:pPr>
    </w:p>
    <w:p w:rsidR="006D497D" w:rsidRPr="006D497D" w:rsidRDefault="006D497D" w:rsidP="006D497D">
      <w:pPr>
        <w:ind w:left="1410" w:hanging="1410"/>
        <w:jc w:val="both"/>
        <w:rPr>
          <w:rFonts w:asciiTheme="majorHAnsi" w:hAnsiTheme="majorHAnsi"/>
        </w:rPr>
      </w:pPr>
      <w:r w:rsidRPr="006D497D">
        <w:rPr>
          <w:rFonts w:asciiTheme="majorHAnsi" w:hAnsiTheme="majorHAnsi"/>
        </w:rPr>
        <w:t>Chemikalien:</w:t>
      </w:r>
      <w:r w:rsidRPr="006D497D">
        <w:rPr>
          <w:rFonts w:asciiTheme="majorHAnsi" w:hAnsiTheme="majorHAnsi"/>
        </w:rPr>
        <w:tab/>
        <w:t>Ameisensäure, Backpulver</w:t>
      </w:r>
    </w:p>
    <w:p w:rsidR="006D497D" w:rsidRPr="006D497D" w:rsidRDefault="006D497D" w:rsidP="006D497D">
      <w:pPr>
        <w:jc w:val="both"/>
        <w:rPr>
          <w:rFonts w:asciiTheme="majorHAnsi" w:hAnsiTheme="majorHAnsi"/>
        </w:rPr>
      </w:pPr>
    </w:p>
    <w:p w:rsidR="006D497D" w:rsidRPr="006D497D" w:rsidRDefault="006D497D" w:rsidP="006D497D">
      <w:pPr>
        <w:tabs>
          <w:tab w:val="left" w:pos="708"/>
          <w:tab w:val="left" w:pos="1416"/>
          <w:tab w:val="left" w:pos="2010"/>
        </w:tabs>
        <w:ind w:left="1410" w:hanging="1410"/>
        <w:jc w:val="both"/>
        <w:rPr>
          <w:rFonts w:asciiTheme="majorHAnsi" w:hAnsiTheme="majorHAnsi"/>
        </w:rPr>
      </w:pPr>
      <w:r w:rsidRPr="006D497D">
        <w:rPr>
          <w:rFonts w:asciiTheme="majorHAnsi" w:hAnsiTheme="majorHAnsi"/>
        </w:rPr>
        <w:t>Durchführung:</w:t>
      </w:r>
      <w:r w:rsidRPr="006D497D">
        <w:rPr>
          <w:rFonts w:asciiTheme="majorHAnsi" w:hAnsiTheme="majorHAnsi"/>
        </w:rPr>
        <w:tab/>
        <w:t>In dem kleinen Behälter wird Backpulver auf die verdünnte Ameisensäure gegeben. Der Behälter wird schnell verschlossen und auf den Kopf gedreht.</w:t>
      </w:r>
    </w:p>
    <w:p w:rsidR="006D497D" w:rsidRPr="006D497D" w:rsidRDefault="006D497D" w:rsidP="006D497D">
      <w:pPr>
        <w:jc w:val="both"/>
        <w:rPr>
          <w:rFonts w:asciiTheme="majorHAnsi" w:hAnsiTheme="majorHAnsi"/>
        </w:rPr>
      </w:pPr>
    </w:p>
    <w:p w:rsidR="006D497D" w:rsidRPr="006D497D" w:rsidRDefault="006D497D" w:rsidP="006D497D">
      <w:pPr>
        <w:ind w:left="1410" w:hanging="1410"/>
        <w:jc w:val="both"/>
        <w:rPr>
          <w:rFonts w:asciiTheme="majorHAnsi" w:hAnsiTheme="majorHAnsi"/>
        </w:rPr>
      </w:pPr>
      <w:r w:rsidRPr="006D497D">
        <w:rPr>
          <w:rFonts w:asciiTheme="majorHAnsi" w:hAnsiTheme="majorHAnsi"/>
        </w:rPr>
        <w:t>Beobachtung:</w:t>
      </w:r>
      <w:r w:rsidRPr="006D497D">
        <w:rPr>
          <w:rFonts w:asciiTheme="majorHAnsi" w:hAnsiTheme="majorHAnsi"/>
        </w:rPr>
        <w:tab/>
      </w:r>
      <w:r w:rsidRPr="006D497D">
        <w:rPr>
          <w:rFonts w:asciiTheme="majorHAnsi" w:hAnsiTheme="majorHAnsi"/>
        </w:rPr>
        <w:tab/>
        <w:t>Nach wenigen Sekunden platzt der Behälter auf und fliegt in die Höhe. Auf der Tischfläche ist das schäumende Backpulver zu erkennen.</w:t>
      </w:r>
    </w:p>
    <w:p w:rsidR="006D497D" w:rsidRPr="006D497D" w:rsidRDefault="006D497D" w:rsidP="006D497D">
      <w:pPr>
        <w:jc w:val="both"/>
        <w:rPr>
          <w:rFonts w:asciiTheme="majorHAnsi" w:hAnsiTheme="majorHAnsi"/>
          <w:bCs/>
        </w:rPr>
      </w:pPr>
    </w:p>
    <w:p w:rsidR="006D497D" w:rsidRPr="006D497D" w:rsidRDefault="006D497D" w:rsidP="006D497D">
      <w:pPr>
        <w:jc w:val="both"/>
        <w:rPr>
          <w:rFonts w:asciiTheme="majorHAnsi" w:hAnsiTheme="majorHAnsi"/>
          <w:bCs/>
        </w:rPr>
      </w:pPr>
      <w:r w:rsidRPr="006D497D">
        <w:rPr>
          <w:rFonts w:asciiTheme="majorHAnsi" w:hAnsiTheme="majorHAnsi"/>
          <w:noProof/>
          <w:lang w:eastAsia="de-DE"/>
        </w:rPr>
        <w:drawing>
          <wp:inline distT="0" distB="0" distL="0" distR="0">
            <wp:extent cx="1826723" cy="2154554"/>
            <wp:effectExtent l="19050" t="0" r="2077" b="0"/>
            <wp:docPr id="344" name="Bild 10" descr="C:\Users\TOSHIBA\Desktop\SVP_Chemie\Carbonsäure\Bilder 11&amp;12\DSCF2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SHIBA\Desktop\SVP_Chemie\Carbonsäure\Bilder 11&amp;12\DSCF2749.JPG"/>
                    <pic:cNvPicPr>
                      <a:picLocks noChangeAspect="1" noChangeArrowheads="1"/>
                    </pic:cNvPicPr>
                  </pic:nvPicPr>
                  <pic:blipFill>
                    <a:blip r:embed="rId16" cstate="print"/>
                    <a:srcRect l="11239" t="23325" r="24711" b="19975"/>
                    <a:stretch>
                      <a:fillRect/>
                    </a:stretch>
                  </pic:blipFill>
                  <pic:spPr bwMode="auto">
                    <a:xfrm>
                      <a:off x="0" y="0"/>
                      <a:ext cx="1831777" cy="2160515"/>
                    </a:xfrm>
                    <a:prstGeom prst="rect">
                      <a:avLst/>
                    </a:prstGeom>
                    <a:noFill/>
                    <a:ln w="9525">
                      <a:noFill/>
                      <a:miter lim="800000"/>
                      <a:headEnd/>
                      <a:tailEnd/>
                    </a:ln>
                  </pic:spPr>
                </pic:pic>
              </a:graphicData>
            </a:graphic>
          </wp:inline>
        </w:drawing>
      </w:r>
    </w:p>
    <w:p w:rsidR="006D497D" w:rsidRPr="006D497D" w:rsidRDefault="006D497D" w:rsidP="006D497D">
      <w:pPr>
        <w:jc w:val="both"/>
        <w:rPr>
          <w:rFonts w:asciiTheme="majorHAnsi" w:hAnsiTheme="majorHAnsi"/>
          <w:bCs/>
        </w:rPr>
      </w:pPr>
      <w:proofErr w:type="spellStart"/>
      <w:r w:rsidRPr="006D497D">
        <w:rPr>
          <w:rFonts w:asciiTheme="majorHAnsi" w:hAnsiTheme="majorHAnsi"/>
          <w:bCs/>
        </w:rPr>
        <w:t>Abb</w:t>
      </w:r>
      <w:proofErr w:type="spellEnd"/>
      <w:r w:rsidRPr="006D497D">
        <w:rPr>
          <w:rFonts w:asciiTheme="majorHAnsi" w:hAnsiTheme="majorHAnsi"/>
          <w:bCs/>
        </w:rPr>
        <w:t xml:space="preserve"> </w:t>
      </w:r>
      <w:r w:rsidR="00711F14">
        <w:rPr>
          <w:rFonts w:asciiTheme="majorHAnsi" w:hAnsiTheme="majorHAnsi"/>
          <w:bCs/>
        </w:rPr>
        <w:t>1</w:t>
      </w:r>
      <w:r w:rsidRPr="006D497D">
        <w:rPr>
          <w:rFonts w:asciiTheme="majorHAnsi" w:hAnsiTheme="majorHAnsi"/>
          <w:bCs/>
        </w:rPr>
        <w:t>: Die Ameisenbombe vor der Reaktion.</w:t>
      </w:r>
    </w:p>
    <w:p w:rsidR="006D497D" w:rsidRPr="006D497D" w:rsidRDefault="006D497D" w:rsidP="006D497D">
      <w:pPr>
        <w:ind w:left="1410" w:hanging="1410"/>
        <w:jc w:val="both"/>
        <w:rPr>
          <w:rFonts w:asciiTheme="majorHAnsi" w:hAnsiTheme="majorHAnsi"/>
        </w:rPr>
      </w:pPr>
      <w:r w:rsidRPr="006D497D">
        <w:rPr>
          <w:rFonts w:asciiTheme="majorHAnsi" w:hAnsiTheme="majorHAnsi"/>
        </w:rPr>
        <w:lastRenderedPageBreak/>
        <w:t>Deutung:</w:t>
      </w:r>
      <w:r w:rsidRPr="006D497D">
        <w:rPr>
          <w:rFonts w:asciiTheme="majorHAnsi" w:hAnsiTheme="majorHAnsi"/>
        </w:rPr>
        <w:tab/>
        <w:t>Backpulver reagiert aufgrund des Natriumhydrogencarbonats mit der Ameisensäure unter Kohlenstoffdioxid-Entwicklung.</w:t>
      </w:r>
    </w:p>
    <w:p w:rsidR="006D497D" w:rsidRPr="006D497D" w:rsidRDefault="005F21FB" w:rsidP="006D497D">
      <w:pPr>
        <w:ind w:left="1410"/>
        <w:jc w:val="both"/>
        <w:rPr>
          <w:rFonts w:asciiTheme="majorHAnsi" w:hAnsiTheme="majorHAnsi"/>
        </w:rPr>
      </w:pPr>
      <w:r w:rsidRPr="005F21FB">
        <w:rPr>
          <w:rFonts w:asciiTheme="majorHAnsi" w:hAnsiTheme="majorHAnsi"/>
          <w:noProof/>
          <w:sz w:val="24"/>
          <w:szCs w:val="24"/>
          <w:lang w:eastAsia="de-DE"/>
        </w:rPr>
        <w:pict>
          <v:shapetype id="_x0000_t32" coordsize="21600,21600" o:spt="32" o:oned="t" path="m,l21600,21600e" filled="f">
            <v:path arrowok="t" fillok="f" o:connecttype="none"/>
            <o:lock v:ext="edit" shapetype="t"/>
          </v:shapetype>
          <v:shape id="_x0000_s1084" type="#_x0000_t32" style="position:absolute;left:0;text-align:left;margin-left:253.9pt;margin-top:7.6pt;width:23.25pt;height:.05pt;z-index:251661312" o:connectortype="straight">
            <v:stroke endarrow="block"/>
          </v:shape>
        </w:pict>
      </w:r>
      <w:r w:rsidR="006D497D" w:rsidRPr="006D497D">
        <w:rPr>
          <w:rFonts w:asciiTheme="majorHAnsi" w:hAnsiTheme="majorHAnsi"/>
        </w:rPr>
        <w:t>HCOO</w:t>
      </w:r>
      <w:r w:rsidR="006D497D" w:rsidRPr="006D497D">
        <w:rPr>
          <w:rFonts w:asciiTheme="majorHAnsi" w:hAnsiTheme="majorHAnsi"/>
          <w:vertAlign w:val="superscript"/>
        </w:rPr>
        <w:t>-</w:t>
      </w:r>
      <w:r w:rsidR="006D497D" w:rsidRPr="006D497D">
        <w:rPr>
          <w:rFonts w:asciiTheme="majorHAnsi" w:hAnsiTheme="majorHAnsi"/>
          <w:vertAlign w:val="subscript"/>
        </w:rPr>
        <w:t>(</w:t>
      </w:r>
      <w:proofErr w:type="spellStart"/>
      <w:r w:rsidR="006D497D" w:rsidRPr="006D497D">
        <w:rPr>
          <w:rFonts w:asciiTheme="majorHAnsi" w:hAnsiTheme="majorHAnsi"/>
          <w:vertAlign w:val="subscript"/>
        </w:rPr>
        <w:t>aq</w:t>
      </w:r>
      <w:proofErr w:type="spellEnd"/>
      <w:r w:rsidR="006D497D" w:rsidRPr="006D497D">
        <w:rPr>
          <w:rFonts w:asciiTheme="majorHAnsi" w:hAnsiTheme="majorHAnsi"/>
          <w:vertAlign w:val="subscript"/>
        </w:rPr>
        <w:t>)</w:t>
      </w:r>
      <w:r w:rsidR="006D497D" w:rsidRPr="006D497D">
        <w:rPr>
          <w:rFonts w:asciiTheme="majorHAnsi" w:hAnsiTheme="majorHAnsi"/>
        </w:rPr>
        <w:t xml:space="preserve"> + Na</w:t>
      </w:r>
      <w:r w:rsidR="006D497D" w:rsidRPr="006D497D">
        <w:rPr>
          <w:rFonts w:asciiTheme="majorHAnsi" w:hAnsiTheme="majorHAnsi"/>
          <w:vertAlign w:val="superscript"/>
        </w:rPr>
        <w:t>+</w:t>
      </w:r>
      <w:r w:rsidR="006D497D" w:rsidRPr="006D497D">
        <w:rPr>
          <w:rFonts w:asciiTheme="majorHAnsi" w:hAnsiTheme="majorHAnsi"/>
          <w:vertAlign w:val="subscript"/>
        </w:rPr>
        <w:t>(</w:t>
      </w:r>
      <w:proofErr w:type="spellStart"/>
      <w:r w:rsidR="006D497D" w:rsidRPr="006D497D">
        <w:rPr>
          <w:rFonts w:asciiTheme="majorHAnsi" w:hAnsiTheme="majorHAnsi"/>
          <w:vertAlign w:val="subscript"/>
        </w:rPr>
        <w:t>aq</w:t>
      </w:r>
      <w:proofErr w:type="spellEnd"/>
      <w:r w:rsidR="006D497D" w:rsidRPr="006D497D">
        <w:rPr>
          <w:rFonts w:asciiTheme="majorHAnsi" w:hAnsiTheme="majorHAnsi"/>
          <w:vertAlign w:val="subscript"/>
        </w:rPr>
        <w:t>)</w:t>
      </w:r>
      <w:r w:rsidR="006D497D" w:rsidRPr="006D497D">
        <w:rPr>
          <w:rFonts w:asciiTheme="majorHAnsi" w:hAnsiTheme="majorHAnsi"/>
        </w:rPr>
        <w:t xml:space="preserve"> + HCO</w:t>
      </w:r>
      <w:r w:rsidR="006D497D" w:rsidRPr="006D497D">
        <w:rPr>
          <w:rFonts w:asciiTheme="majorHAnsi" w:hAnsiTheme="majorHAnsi"/>
          <w:vertAlign w:val="subscript"/>
        </w:rPr>
        <w:t>3</w:t>
      </w:r>
      <w:r w:rsidR="006D497D" w:rsidRPr="006D497D">
        <w:rPr>
          <w:rFonts w:asciiTheme="majorHAnsi" w:hAnsiTheme="majorHAnsi"/>
          <w:vertAlign w:val="superscript"/>
        </w:rPr>
        <w:t>-</w:t>
      </w:r>
      <w:r w:rsidR="006D497D" w:rsidRPr="006D497D">
        <w:rPr>
          <w:rFonts w:asciiTheme="majorHAnsi" w:hAnsiTheme="majorHAnsi"/>
          <w:vertAlign w:val="subscript"/>
        </w:rPr>
        <w:t>(</w:t>
      </w:r>
      <w:proofErr w:type="spellStart"/>
      <w:r w:rsidR="006D497D" w:rsidRPr="006D497D">
        <w:rPr>
          <w:rFonts w:asciiTheme="majorHAnsi" w:hAnsiTheme="majorHAnsi"/>
          <w:vertAlign w:val="subscript"/>
        </w:rPr>
        <w:t>aq</w:t>
      </w:r>
      <w:proofErr w:type="spellEnd"/>
      <w:r w:rsidR="006D497D" w:rsidRPr="006D497D">
        <w:rPr>
          <w:rFonts w:asciiTheme="majorHAnsi" w:hAnsiTheme="majorHAnsi"/>
          <w:vertAlign w:val="subscript"/>
        </w:rPr>
        <w:t>)</w:t>
      </w:r>
      <w:r w:rsidR="006D497D" w:rsidRPr="006D497D">
        <w:rPr>
          <w:rFonts w:asciiTheme="majorHAnsi" w:hAnsiTheme="majorHAnsi"/>
        </w:rPr>
        <w:t xml:space="preserve"> + H</w:t>
      </w:r>
      <w:r w:rsidR="006D497D" w:rsidRPr="006D497D">
        <w:rPr>
          <w:rFonts w:asciiTheme="majorHAnsi" w:hAnsiTheme="majorHAnsi"/>
          <w:vertAlign w:val="subscript"/>
        </w:rPr>
        <w:t>3</w:t>
      </w:r>
      <w:r w:rsidR="006D497D" w:rsidRPr="006D497D">
        <w:rPr>
          <w:rFonts w:asciiTheme="majorHAnsi" w:hAnsiTheme="majorHAnsi"/>
        </w:rPr>
        <w:t>O</w:t>
      </w:r>
      <w:r w:rsidR="006D497D" w:rsidRPr="006D497D">
        <w:rPr>
          <w:rFonts w:asciiTheme="majorHAnsi" w:hAnsiTheme="majorHAnsi"/>
          <w:vertAlign w:val="superscript"/>
        </w:rPr>
        <w:t>+</w:t>
      </w:r>
      <w:r w:rsidR="006D497D" w:rsidRPr="006D497D">
        <w:rPr>
          <w:rFonts w:asciiTheme="majorHAnsi" w:hAnsiTheme="majorHAnsi"/>
          <w:vertAlign w:val="subscript"/>
        </w:rPr>
        <w:t>(</w:t>
      </w:r>
      <w:proofErr w:type="spellStart"/>
      <w:r w:rsidR="006D497D" w:rsidRPr="006D497D">
        <w:rPr>
          <w:rFonts w:asciiTheme="majorHAnsi" w:hAnsiTheme="majorHAnsi"/>
          <w:vertAlign w:val="subscript"/>
        </w:rPr>
        <w:t>aq</w:t>
      </w:r>
      <w:proofErr w:type="spellEnd"/>
      <w:r w:rsidR="006D497D" w:rsidRPr="006D497D">
        <w:rPr>
          <w:rFonts w:asciiTheme="majorHAnsi" w:hAnsiTheme="majorHAnsi"/>
          <w:vertAlign w:val="subscript"/>
        </w:rPr>
        <w:t>)</w:t>
      </w:r>
      <w:r w:rsidR="006D497D" w:rsidRPr="006D497D">
        <w:rPr>
          <w:rFonts w:asciiTheme="majorHAnsi" w:hAnsiTheme="majorHAnsi"/>
          <w:vertAlign w:val="subscript"/>
        </w:rPr>
        <w:tab/>
      </w:r>
      <w:r w:rsidR="006D497D" w:rsidRPr="006D497D">
        <w:rPr>
          <w:rFonts w:asciiTheme="majorHAnsi" w:hAnsiTheme="majorHAnsi"/>
        </w:rPr>
        <w:t>2 H</w:t>
      </w:r>
      <w:r w:rsidR="006D497D" w:rsidRPr="006D497D">
        <w:rPr>
          <w:rFonts w:asciiTheme="majorHAnsi" w:hAnsiTheme="majorHAnsi"/>
          <w:vertAlign w:val="subscript"/>
        </w:rPr>
        <w:t>2</w:t>
      </w:r>
      <w:r w:rsidR="006D497D" w:rsidRPr="006D497D">
        <w:rPr>
          <w:rFonts w:asciiTheme="majorHAnsi" w:hAnsiTheme="majorHAnsi"/>
        </w:rPr>
        <w:t>O</w:t>
      </w:r>
      <w:r w:rsidR="006D497D" w:rsidRPr="006D497D">
        <w:rPr>
          <w:rFonts w:asciiTheme="majorHAnsi" w:hAnsiTheme="majorHAnsi"/>
          <w:vertAlign w:val="subscript"/>
        </w:rPr>
        <w:t>(l)</w:t>
      </w:r>
      <w:r w:rsidR="006D497D" w:rsidRPr="006D497D">
        <w:rPr>
          <w:rFonts w:asciiTheme="majorHAnsi" w:hAnsiTheme="majorHAnsi"/>
        </w:rPr>
        <w:t xml:space="preserve"> + HCOO</w:t>
      </w:r>
      <w:r w:rsidR="006D497D" w:rsidRPr="006D497D">
        <w:rPr>
          <w:rFonts w:asciiTheme="majorHAnsi" w:hAnsiTheme="majorHAnsi"/>
          <w:vertAlign w:val="superscript"/>
        </w:rPr>
        <w:t>-</w:t>
      </w:r>
      <w:r w:rsidR="006D497D" w:rsidRPr="006D497D">
        <w:rPr>
          <w:rFonts w:asciiTheme="majorHAnsi" w:hAnsiTheme="majorHAnsi"/>
          <w:vertAlign w:val="subscript"/>
        </w:rPr>
        <w:t>(</w:t>
      </w:r>
      <w:proofErr w:type="spellStart"/>
      <w:r w:rsidR="006D497D" w:rsidRPr="006D497D">
        <w:rPr>
          <w:rFonts w:asciiTheme="majorHAnsi" w:hAnsiTheme="majorHAnsi"/>
          <w:vertAlign w:val="subscript"/>
        </w:rPr>
        <w:t>aq</w:t>
      </w:r>
      <w:proofErr w:type="spellEnd"/>
      <w:r w:rsidR="006D497D" w:rsidRPr="006D497D">
        <w:rPr>
          <w:rFonts w:asciiTheme="majorHAnsi" w:hAnsiTheme="majorHAnsi"/>
          <w:vertAlign w:val="subscript"/>
        </w:rPr>
        <w:t>)</w:t>
      </w:r>
      <w:r w:rsidR="006D497D" w:rsidRPr="006D497D">
        <w:rPr>
          <w:rFonts w:asciiTheme="majorHAnsi" w:hAnsiTheme="majorHAnsi"/>
        </w:rPr>
        <w:t xml:space="preserve"> + Na</w:t>
      </w:r>
      <w:r w:rsidR="006D497D" w:rsidRPr="006D497D">
        <w:rPr>
          <w:rFonts w:asciiTheme="majorHAnsi" w:hAnsiTheme="majorHAnsi"/>
          <w:vertAlign w:val="superscript"/>
        </w:rPr>
        <w:t>+</w:t>
      </w:r>
      <w:r w:rsidR="006D497D" w:rsidRPr="006D497D">
        <w:rPr>
          <w:rFonts w:asciiTheme="majorHAnsi" w:hAnsiTheme="majorHAnsi"/>
          <w:vertAlign w:val="subscript"/>
        </w:rPr>
        <w:t>(</w:t>
      </w:r>
      <w:proofErr w:type="spellStart"/>
      <w:r w:rsidR="006D497D" w:rsidRPr="006D497D">
        <w:rPr>
          <w:rFonts w:asciiTheme="majorHAnsi" w:hAnsiTheme="majorHAnsi"/>
          <w:vertAlign w:val="subscript"/>
        </w:rPr>
        <w:t>aq</w:t>
      </w:r>
      <w:proofErr w:type="spellEnd"/>
      <w:r w:rsidR="006D497D" w:rsidRPr="006D497D">
        <w:rPr>
          <w:rFonts w:asciiTheme="majorHAnsi" w:hAnsiTheme="majorHAnsi"/>
          <w:vertAlign w:val="subscript"/>
        </w:rPr>
        <w:t xml:space="preserve">) </w:t>
      </w:r>
      <w:r w:rsidR="006D497D" w:rsidRPr="006D497D">
        <w:rPr>
          <w:rFonts w:asciiTheme="majorHAnsi" w:hAnsiTheme="majorHAnsi"/>
        </w:rPr>
        <w:t>+ CO</w:t>
      </w:r>
      <w:r w:rsidR="006D497D" w:rsidRPr="006D497D">
        <w:rPr>
          <w:rFonts w:asciiTheme="majorHAnsi" w:hAnsiTheme="majorHAnsi"/>
          <w:vertAlign w:val="subscript"/>
        </w:rPr>
        <w:t>2(g)</w:t>
      </w:r>
    </w:p>
    <w:p w:rsidR="006D497D" w:rsidRPr="006D497D" w:rsidRDefault="006D497D" w:rsidP="006D497D">
      <w:pPr>
        <w:jc w:val="both"/>
        <w:rPr>
          <w:rFonts w:asciiTheme="majorHAnsi" w:hAnsiTheme="majorHAnsi"/>
        </w:rPr>
      </w:pPr>
    </w:p>
    <w:p w:rsidR="006D497D" w:rsidRPr="006D497D" w:rsidRDefault="006D497D" w:rsidP="006D497D">
      <w:pPr>
        <w:ind w:left="1410" w:hanging="1410"/>
        <w:jc w:val="both"/>
        <w:rPr>
          <w:rFonts w:asciiTheme="majorHAnsi" w:hAnsiTheme="majorHAnsi"/>
        </w:rPr>
      </w:pPr>
      <w:r w:rsidRPr="006D497D">
        <w:rPr>
          <w:rFonts w:asciiTheme="majorHAnsi" w:hAnsiTheme="majorHAnsi"/>
        </w:rPr>
        <w:t>Entsorgung:</w:t>
      </w:r>
      <w:r w:rsidRPr="006D497D">
        <w:rPr>
          <w:rFonts w:asciiTheme="majorHAnsi" w:hAnsiTheme="majorHAnsi"/>
        </w:rPr>
        <w:tab/>
        <w:t>Das schäumende Backpulver wird mit Tüchern aufgewischt und im Feststoffabfall entsorgt.</w:t>
      </w:r>
    </w:p>
    <w:p w:rsidR="006D497D" w:rsidRPr="006D497D" w:rsidRDefault="006D497D" w:rsidP="006D497D">
      <w:pPr>
        <w:jc w:val="both"/>
        <w:rPr>
          <w:rFonts w:asciiTheme="majorHAnsi" w:hAnsiTheme="majorHAnsi"/>
        </w:rPr>
      </w:pPr>
    </w:p>
    <w:p w:rsidR="006D497D" w:rsidRPr="006D497D" w:rsidRDefault="006D497D" w:rsidP="006D497D">
      <w:pPr>
        <w:jc w:val="both"/>
        <w:rPr>
          <w:rFonts w:asciiTheme="majorHAnsi" w:hAnsiTheme="majorHAnsi"/>
        </w:rPr>
      </w:pPr>
      <w:r w:rsidRPr="006D497D">
        <w:rPr>
          <w:rFonts w:asciiTheme="majorHAnsi" w:hAnsiTheme="majorHAnsi"/>
        </w:rPr>
        <w:t>Literatur:</w:t>
      </w:r>
      <w:r w:rsidRPr="006D497D">
        <w:rPr>
          <w:rFonts w:asciiTheme="majorHAnsi" w:hAnsiTheme="majorHAnsi"/>
        </w:rPr>
        <w:tab/>
        <w:t>-</w:t>
      </w:r>
    </w:p>
    <w:p w:rsidR="006D497D" w:rsidRPr="006D497D" w:rsidRDefault="006D497D" w:rsidP="006D497D">
      <w:pPr>
        <w:jc w:val="both"/>
        <w:rPr>
          <w:rFonts w:asciiTheme="majorHAnsi" w:hAnsiTheme="majorHAnsi"/>
        </w:rPr>
      </w:pPr>
    </w:p>
    <w:p w:rsidR="006D497D" w:rsidRPr="006D497D" w:rsidRDefault="005F21FB" w:rsidP="006D497D">
      <w:pPr>
        <w:jc w:val="both"/>
        <w:rPr>
          <w:rFonts w:asciiTheme="majorHAnsi" w:hAnsiTheme="majorHAnsi"/>
        </w:rPr>
      </w:pPr>
      <w:r w:rsidRPr="005F21FB">
        <w:rPr>
          <w:rFonts w:asciiTheme="majorHAnsi" w:hAnsiTheme="majorHAnsi"/>
          <w:color w:val="FF0000"/>
        </w:rPr>
      </w:r>
      <w:r w:rsidRPr="005F21FB">
        <w:rPr>
          <w:rFonts w:asciiTheme="majorHAnsi" w:hAnsiTheme="majorHAnsi"/>
          <w:color w:val="FF0000"/>
        </w:rPr>
        <w:pict>
          <v:shape id="_x0000_s1085" type="#_x0000_t202" style="width:462.45pt;height:157.9pt;mso-position-horizontal-relative:char;mso-position-vertical-relative:line;mso-width-relative:margin;mso-height-relative:margin" fillcolor="white [3201]" strokecolor="#c0504d [3205]" strokeweight="1pt">
            <v:stroke dashstyle="dash"/>
            <v:shadow color="#868686"/>
            <v:textbox style="mso-next-textbox:#_x0000_s1085">
              <w:txbxContent>
                <w:p w:rsidR="006D497D" w:rsidRPr="006D497D" w:rsidRDefault="006D497D" w:rsidP="006D497D">
                  <w:pPr>
                    <w:jc w:val="both"/>
                    <w:rPr>
                      <w:rFonts w:asciiTheme="majorHAnsi" w:hAnsiTheme="majorHAnsi"/>
                    </w:rPr>
                  </w:pPr>
                  <w:r w:rsidRPr="006D497D">
                    <w:rPr>
                      <w:rFonts w:asciiTheme="majorHAnsi" w:hAnsiTheme="majorHAnsi"/>
                    </w:rPr>
                    <w:t>Dieser Versuch zeigt sehr anschaulich wie Natriumhydrogencarbonat mit organischen Säuren reagiert.</w:t>
                  </w:r>
                </w:p>
                <w:p w:rsidR="006D497D" w:rsidRPr="006D497D" w:rsidRDefault="006D497D" w:rsidP="006D497D">
                  <w:pPr>
                    <w:jc w:val="both"/>
                    <w:rPr>
                      <w:rFonts w:asciiTheme="majorHAnsi" w:hAnsiTheme="majorHAnsi"/>
                    </w:rPr>
                  </w:pPr>
                  <w:r w:rsidRPr="006D497D">
                    <w:rPr>
                      <w:rFonts w:asciiTheme="majorHAnsi" w:hAnsiTheme="majorHAnsi"/>
                    </w:rPr>
                    <w:t>Viele SuS haben schon einmal von dem Mythos gehört, dass Ameisen explodieren, wenn sie Backpulver fressen und man sie so verscheuchen könne. Durch diesen Versuch kann man herausfinden, ob Ameisensäure tatsächlich mit Backpulver reagiert. Ob die Tiere das Backpulver tatsächlich fressen, kann nicht belegt werden.</w:t>
                  </w:r>
                </w:p>
                <w:p w:rsidR="006D497D" w:rsidRPr="006D497D" w:rsidRDefault="006D497D" w:rsidP="006D497D">
                  <w:pPr>
                    <w:jc w:val="both"/>
                    <w:rPr>
                      <w:rFonts w:asciiTheme="majorHAnsi" w:hAnsiTheme="majorHAnsi"/>
                    </w:rPr>
                  </w:pPr>
                  <w:r w:rsidRPr="006D497D">
                    <w:rPr>
                      <w:rFonts w:asciiTheme="majorHAnsi" w:hAnsiTheme="majorHAnsi"/>
                    </w:rPr>
                    <w:t>Dieser Versuch ist nett anzusehen und wird die SuS belustigen. In der Auswertung kann dann genau auf die Reaktion eingegangen werden, sodass der Versuch auch einen Lerneffekt erzielt.</w:t>
                  </w:r>
                </w:p>
              </w:txbxContent>
            </v:textbox>
            <w10:wrap type="none"/>
            <w10:anchorlock/>
          </v:shape>
        </w:pict>
      </w:r>
    </w:p>
    <w:p w:rsidR="006D497D" w:rsidRPr="006D497D" w:rsidRDefault="006D497D" w:rsidP="006D497D">
      <w:pPr>
        <w:jc w:val="both"/>
        <w:rPr>
          <w:rFonts w:asciiTheme="majorHAnsi" w:hAnsiTheme="majorHAnsi"/>
        </w:rPr>
      </w:pPr>
    </w:p>
    <w:p w:rsidR="0043384F" w:rsidRPr="006D497D" w:rsidRDefault="00384AB1" w:rsidP="006D497D"/>
    <w:sectPr w:rsidR="0043384F" w:rsidRPr="006D497D" w:rsidSect="001A2281">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AB1" w:rsidRDefault="00384AB1" w:rsidP="000B77F4">
      <w:pPr>
        <w:spacing w:line="240" w:lineRule="auto"/>
      </w:pPr>
      <w:r>
        <w:separator/>
      </w:r>
    </w:p>
  </w:endnote>
  <w:endnote w:type="continuationSeparator" w:id="0">
    <w:p w:rsidR="00384AB1" w:rsidRDefault="00384AB1" w:rsidP="000B77F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047" w:rsidRDefault="00826047">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047" w:rsidRDefault="00826047">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047" w:rsidRDefault="00826047">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AB1" w:rsidRDefault="00384AB1" w:rsidP="000B77F4">
      <w:pPr>
        <w:spacing w:line="240" w:lineRule="auto"/>
      </w:pPr>
      <w:r>
        <w:separator/>
      </w:r>
    </w:p>
  </w:footnote>
  <w:footnote w:type="continuationSeparator" w:id="0">
    <w:p w:rsidR="00384AB1" w:rsidRDefault="00384AB1" w:rsidP="000B77F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047" w:rsidRDefault="00826047">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rPr>
      <w:id w:val="84343485"/>
      <w:docPartObj>
        <w:docPartGallery w:val="Page Numbers (Top of Page)"/>
        <w:docPartUnique/>
      </w:docPartObj>
    </w:sdtPr>
    <w:sdtContent>
      <w:p w:rsidR="000B77F4" w:rsidRPr="00826047" w:rsidRDefault="00814C93" w:rsidP="000B77F4">
        <w:pPr>
          <w:pStyle w:val="Kopfzeile"/>
          <w:rPr>
            <w:rFonts w:asciiTheme="majorHAnsi" w:hAnsiTheme="majorHAnsi"/>
          </w:rPr>
        </w:pPr>
        <w:r w:rsidRPr="00826047">
          <w:rPr>
            <w:rFonts w:asciiTheme="majorHAnsi" w:hAnsiTheme="majorHAnsi"/>
          </w:rPr>
          <w:t xml:space="preserve">V </w:t>
        </w:r>
        <w:r w:rsidR="006D497D" w:rsidRPr="00826047">
          <w:rPr>
            <w:rFonts w:asciiTheme="majorHAnsi" w:hAnsiTheme="majorHAnsi"/>
          </w:rPr>
          <w:t>6</w:t>
        </w:r>
        <w:r w:rsidR="000B77F4" w:rsidRPr="00826047">
          <w:rPr>
            <w:rFonts w:asciiTheme="majorHAnsi" w:hAnsiTheme="majorHAnsi"/>
          </w:rPr>
          <w:t xml:space="preserve"> – </w:t>
        </w:r>
        <w:r w:rsidR="006D497D" w:rsidRPr="00826047">
          <w:rPr>
            <w:rFonts w:asciiTheme="majorHAnsi" w:hAnsiTheme="majorHAnsi"/>
          </w:rPr>
          <w:t>Die Ameisenbombe</w:t>
        </w:r>
        <w:r w:rsidR="000B77F4" w:rsidRPr="00826047">
          <w:rPr>
            <w:rFonts w:asciiTheme="majorHAnsi" w:hAnsiTheme="majorHAnsi"/>
          </w:rPr>
          <w:tab/>
        </w:r>
        <w:r w:rsidR="000B77F4" w:rsidRPr="00826047">
          <w:rPr>
            <w:rFonts w:asciiTheme="majorHAnsi" w:hAnsiTheme="majorHAnsi"/>
          </w:rPr>
          <w:tab/>
          <w:t xml:space="preserve"> </w:t>
        </w:r>
        <w:r w:rsidR="005F21FB" w:rsidRPr="00826047">
          <w:rPr>
            <w:rFonts w:asciiTheme="majorHAnsi" w:hAnsiTheme="majorHAnsi"/>
          </w:rPr>
          <w:fldChar w:fldCharType="begin"/>
        </w:r>
        <w:r w:rsidR="00E9021B" w:rsidRPr="00826047">
          <w:rPr>
            <w:rFonts w:asciiTheme="majorHAnsi" w:hAnsiTheme="majorHAnsi"/>
          </w:rPr>
          <w:instrText xml:space="preserve"> PAGE   \* MERGEFORMAT </w:instrText>
        </w:r>
        <w:r w:rsidR="005F21FB" w:rsidRPr="00826047">
          <w:rPr>
            <w:rFonts w:asciiTheme="majorHAnsi" w:hAnsiTheme="majorHAnsi"/>
          </w:rPr>
          <w:fldChar w:fldCharType="separate"/>
        </w:r>
        <w:r w:rsidR="00711F14">
          <w:rPr>
            <w:rFonts w:asciiTheme="majorHAnsi" w:hAnsiTheme="majorHAnsi"/>
            <w:noProof/>
          </w:rPr>
          <w:t>2</w:t>
        </w:r>
        <w:r w:rsidR="005F21FB" w:rsidRPr="00826047">
          <w:rPr>
            <w:rFonts w:asciiTheme="majorHAnsi" w:hAnsiTheme="majorHAnsi"/>
          </w:rPr>
          <w:fldChar w:fldCharType="end"/>
        </w:r>
      </w:p>
    </w:sdtContent>
  </w:sdt>
  <w:p w:rsidR="000B77F4" w:rsidRPr="00826047" w:rsidRDefault="005F21FB">
    <w:pPr>
      <w:pStyle w:val="Kopfzeile"/>
      <w:rPr>
        <w:rFonts w:asciiTheme="majorHAnsi" w:hAnsiTheme="majorHAnsi"/>
      </w:rPr>
    </w:pPr>
    <w:r>
      <w:rPr>
        <w:rFonts w:asciiTheme="majorHAnsi" w:hAnsiTheme="majorHAnsi"/>
      </w:rPr>
      <w:pict>
        <v:shapetype id="_x0000_t32" coordsize="21600,21600" o:spt="32" o:oned="t" path="m,l21600,21600e" filled="f">
          <v:path arrowok="t" fillok="f" o:connecttype="none"/>
          <o:lock v:ext="edit" shapetype="t"/>
        </v:shapetype>
        <v:shape id="_x0000_s2050" type="#_x0000_t32" style="position:absolute;margin-left:-3.35pt;margin-top:3.05pt;width:462pt;height:.05pt;flip:x;z-index:251660288"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047" w:rsidRDefault="00826047">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377D4"/>
    <w:multiLevelType w:val="hybridMultilevel"/>
    <w:tmpl w:val="D18A4DA2"/>
    <w:lvl w:ilvl="0" w:tplc="976484A2">
      <w:start w:val="1"/>
      <w:numFmt w:val="decimal"/>
      <w:lvlText w:val="%1."/>
      <w:lvlJc w:val="left"/>
      <w:pPr>
        <w:ind w:left="1770" w:hanging="360"/>
      </w:pPr>
      <w:rPr>
        <w:rFonts w:hint="default"/>
      </w:rPr>
    </w:lvl>
    <w:lvl w:ilvl="1" w:tplc="04070019" w:tentative="1">
      <w:start w:val="1"/>
      <w:numFmt w:val="lowerLetter"/>
      <w:lvlText w:val="%2."/>
      <w:lvlJc w:val="left"/>
      <w:pPr>
        <w:ind w:left="2490" w:hanging="360"/>
      </w:pPr>
    </w:lvl>
    <w:lvl w:ilvl="2" w:tplc="0407001B" w:tentative="1">
      <w:start w:val="1"/>
      <w:numFmt w:val="lowerRoman"/>
      <w:lvlText w:val="%3."/>
      <w:lvlJc w:val="right"/>
      <w:pPr>
        <w:ind w:left="3210" w:hanging="180"/>
      </w:pPr>
    </w:lvl>
    <w:lvl w:ilvl="3" w:tplc="0407000F" w:tentative="1">
      <w:start w:val="1"/>
      <w:numFmt w:val="decimal"/>
      <w:lvlText w:val="%4."/>
      <w:lvlJc w:val="left"/>
      <w:pPr>
        <w:ind w:left="3930" w:hanging="360"/>
      </w:pPr>
    </w:lvl>
    <w:lvl w:ilvl="4" w:tplc="04070019" w:tentative="1">
      <w:start w:val="1"/>
      <w:numFmt w:val="lowerLetter"/>
      <w:lvlText w:val="%5."/>
      <w:lvlJc w:val="left"/>
      <w:pPr>
        <w:ind w:left="4650" w:hanging="360"/>
      </w:pPr>
    </w:lvl>
    <w:lvl w:ilvl="5" w:tplc="0407001B" w:tentative="1">
      <w:start w:val="1"/>
      <w:numFmt w:val="lowerRoman"/>
      <w:lvlText w:val="%6."/>
      <w:lvlJc w:val="right"/>
      <w:pPr>
        <w:ind w:left="5370" w:hanging="180"/>
      </w:pPr>
    </w:lvl>
    <w:lvl w:ilvl="6" w:tplc="0407000F" w:tentative="1">
      <w:start w:val="1"/>
      <w:numFmt w:val="decimal"/>
      <w:lvlText w:val="%7."/>
      <w:lvlJc w:val="left"/>
      <w:pPr>
        <w:ind w:left="6090" w:hanging="360"/>
      </w:pPr>
    </w:lvl>
    <w:lvl w:ilvl="7" w:tplc="04070019" w:tentative="1">
      <w:start w:val="1"/>
      <w:numFmt w:val="lowerLetter"/>
      <w:lvlText w:val="%8."/>
      <w:lvlJc w:val="left"/>
      <w:pPr>
        <w:ind w:left="6810" w:hanging="360"/>
      </w:pPr>
    </w:lvl>
    <w:lvl w:ilvl="8" w:tplc="0407001B" w:tentative="1">
      <w:start w:val="1"/>
      <w:numFmt w:val="lowerRoman"/>
      <w:lvlText w:val="%9."/>
      <w:lvlJc w:val="right"/>
      <w:pPr>
        <w:ind w:left="75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2"/>
      <o:rules v:ext="edit">
        <o:r id="V:Rule2" type="connector" idref="#_x0000_s2050"/>
      </o:rules>
    </o:shapelayout>
  </w:hdrShapeDefaults>
  <w:footnotePr>
    <w:footnote w:id="-1"/>
    <w:footnote w:id="0"/>
  </w:footnotePr>
  <w:endnotePr>
    <w:endnote w:id="-1"/>
    <w:endnote w:id="0"/>
  </w:endnotePr>
  <w:compat/>
  <w:rsids>
    <w:rsidRoot w:val="000B77F4"/>
    <w:rsid w:val="000B77F4"/>
    <w:rsid w:val="001461C9"/>
    <w:rsid w:val="001A2281"/>
    <w:rsid w:val="00282CE5"/>
    <w:rsid w:val="002E1808"/>
    <w:rsid w:val="00384AB1"/>
    <w:rsid w:val="00475B77"/>
    <w:rsid w:val="005A32BD"/>
    <w:rsid w:val="005F21FB"/>
    <w:rsid w:val="006C32AC"/>
    <w:rsid w:val="006D497D"/>
    <w:rsid w:val="00711F14"/>
    <w:rsid w:val="00814C93"/>
    <w:rsid w:val="00826047"/>
    <w:rsid w:val="008F1E26"/>
    <w:rsid w:val="008F1F3C"/>
    <w:rsid w:val="00984870"/>
    <w:rsid w:val="009C761D"/>
    <w:rsid w:val="00AB2C93"/>
    <w:rsid w:val="00E521C4"/>
    <w:rsid w:val="00E9021B"/>
    <w:rsid w:val="00F853B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2281"/>
  </w:style>
  <w:style w:type="paragraph" w:styleId="berschrift1">
    <w:name w:val="heading 1"/>
    <w:basedOn w:val="Standard"/>
    <w:next w:val="Standard"/>
    <w:link w:val="berschrift1Zchn"/>
    <w:uiPriority w:val="9"/>
    <w:rsid w:val="00F853BB"/>
    <w:pPr>
      <w:keepNext/>
      <w:outlineLvl w:val="0"/>
    </w:pPr>
    <w:rPr>
      <w:rFonts w:ascii="Arial" w:eastAsiaTheme="majorEastAsia" w:hAnsi="Arial" w:cstheme="majorBidi"/>
      <w:b/>
      <w:bCs/>
      <w:kern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853BB"/>
    <w:rPr>
      <w:rFonts w:ascii="Arial" w:eastAsiaTheme="majorEastAsia" w:hAnsi="Arial" w:cstheme="majorBidi"/>
      <w:b/>
      <w:bCs/>
      <w:kern w:val="32"/>
      <w:sz w:val="22"/>
      <w:szCs w:val="32"/>
      <w:lang w:eastAsia="en-US"/>
    </w:rPr>
  </w:style>
  <w:style w:type="table" w:styleId="Tabellengitternetz">
    <w:name w:val="Table Grid"/>
    <w:basedOn w:val="NormaleTabelle"/>
    <w:uiPriority w:val="59"/>
    <w:rsid w:val="000B77F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0B77F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77F4"/>
    <w:rPr>
      <w:rFonts w:ascii="Tahoma" w:hAnsi="Tahoma" w:cs="Tahoma"/>
      <w:sz w:val="16"/>
      <w:szCs w:val="16"/>
    </w:rPr>
  </w:style>
  <w:style w:type="paragraph" w:styleId="Kopfzeile">
    <w:name w:val="header"/>
    <w:basedOn w:val="Standard"/>
    <w:link w:val="KopfzeileZchn"/>
    <w:uiPriority w:val="99"/>
    <w:semiHidden/>
    <w:unhideWhenUsed/>
    <w:rsid w:val="000B77F4"/>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0B77F4"/>
  </w:style>
  <w:style w:type="paragraph" w:styleId="Fuzeile">
    <w:name w:val="footer"/>
    <w:basedOn w:val="Standard"/>
    <w:link w:val="FuzeileZchn"/>
    <w:uiPriority w:val="99"/>
    <w:semiHidden/>
    <w:unhideWhenUsed/>
    <w:rsid w:val="000B77F4"/>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0B77F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836</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5</cp:revision>
  <dcterms:created xsi:type="dcterms:W3CDTF">2013-08-12T15:46:00Z</dcterms:created>
  <dcterms:modified xsi:type="dcterms:W3CDTF">2013-08-12T16:13:00Z</dcterms:modified>
</cp:coreProperties>
</file>