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AD" w:rsidRDefault="00531FE9" w:rsidP="008169AD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t>V</w:t>
      </w:r>
      <w:r w:rsidR="008169AD">
        <w:t>1</w:t>
      </w:r>
      <w:r w:rsidR="001B1A06">
        <w:t xml:space="preserve">  –</w:t>
      </w:r>
      <w:r w:rsidR="008169AD" w:rsidRPr="008169AD">
        <w:t xml:space="preserve"> </w:t>
      </w:r>
      <w:r w:rsidR="008169AD">
        <w:t xml:space="preserve"> Synthese eines Superabsorbers</w:t>
      </w:r>
      <w:r w:rsidR="001B1A06">
        <w:t xml:space="preserve"> </w:t>
      </w:r>
      <w:bookmarkEnd w:id="0"/>
    </w:p>
    <w:p w:rsidR="008169AD" w:rsidRPr="008169AD" w:rsidRDefault="008169AD" w:rsidP="008169AD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1.2pt;margin-top:11.6pt;width:462.45pt;height:67.65pt;z-index:251663360;visibility:visible;mso-wrap-style:square;mso-position-horizontal-relative:text;mso-position-vertical-relative:text;v-text-anchor:top" strokecolor="#4bacc6" strokeweight=".99pt">
            <v:stroke dashstyle="dash"/>
            <v:textbox style="mso-rotate-with-shape:t">
              <w:txbxContent>
                <w:p w:rsidR="008169AD" w:rsidRDefault="008169AD" w:rsidP="008169A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In diesem Versuch wird aus Stärke ein Superabsorber hergestellt. Bei dieser Reaktion handelt es sich um eine </w:t>
                  </w:r>
                  <w:proofErr w:type="spellStart"/>
                  <w:r>
                    <w:rPr>
                      <w:color w:val="000000"/>
                    </w:rPr>
                    <w:t>Ethersynthese</w:t>
                  </w:r>
                  <w:proofErr w:type="spellEnd"/>
                  <w:r>
                    <w:rPr>
                      <w:color w:val="000000"/>
                    </w:rPr>
                    <w:t xml:space="preserve">. Als Vorwissen sollten die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die Struktur und die funktionellen Gruppen von Stärke sowie die Williamson-Ether-Synthese kennen.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169AD" w:rsidTr="00796EAD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Gefahrenstoffe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/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255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210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H: 314, 290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</w:pPr>
            <w:r>
              <w:rPr>
                <w:rStyle w:val="Hyperlink"/>
                <w:color w:val="000000"/>
                <w:sz w:val="20"/>
                <w:szCs w:val="20"/>
              </w:rPr>
              <w:t>P: 280, 301+330+331, 309+310, 305+351+338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314, 335, 290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234, 260, 05+351+338, 303+361+353, 304+340, 309+311, 501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Monochloressigsäure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301, 311, 330, 314, 335, 400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P: 261, 273, 280, 301+330+331, 302+350, 304+340, 305+351+338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Dichloressigsäure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H: 314, 400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027" w:type="dxa"/>
            <w:gridSpan w:val="3"/>
            <w:tcBorders>
              <w:left w:val="single" w:sz="8" w:space="0" w:color="4F81BD"/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  <w:right w:val="single" w:sz="8" w:space="0" w:color="4F81B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69AD" w:rsidRDefault="008169AD" w:rsidP="00796EA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9AD" w:rsidTr="00796EA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6" name="Grafik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7" name="Grafik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8" name="Grafik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640" cy="503640"/>
                  <wp:effectExtent l="19050" t="0" r="0" b="0"/>
                  <wp:docPr id="9" name="Grafik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40" cy="50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9120" cy="609120"/>
                  <wp:effectExtent l="19050" t="0" r="480" b="0"/>
                  <wp:docPr id="10" name="Grafik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60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560" cy="493560"/>
                  <wp:effectExtent l="19050" t="0" r="1740" b="0"/>
                  <wp:docPr id="11" name="Grafik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60" cy="4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2040" cy="482040"/>
                  <wp:effectExtent l="19050" t="0" r="0" b="0"/>
                  <wp:docPr id="12" name="Grafik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0" cy="4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AD" w:rsidRDefault="008169AD" w:rsidP="00796E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840" cy="582840"/>
                  <wp:effectExtent l="19050" t="0" r="7710" b="0"/>
                  <wp:docPr id="14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40" cy="58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Materialien: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Magnetrührer</w:t>
      </w:r>
      <w:proofErr w:type="spellEnd"/>
      <w:r>
        <w:rPr>
          <w:color w:val="000000"/>
        </w:rPr>
        <w:t xml:space="preserve"> mit Heizfunktion, pneumatische Wanne, 3-Hals-Rundkolben, Rückflusskühler, Thermometer, Stopfen, Messzylinder, Fes</w:t>
      </w:r>
      <w:r>
        <w:rPr>
          <w:color w:val="000000"/>
        </w:rPr>
        <w:t>t</w:t>
      </w:r>
      <w:r>
        <w:rPr>
          <w:color w:val="000000"/>
        </w:rPr>
        <w:t xml:space="preserve">stofftrichter, Spatel, </w:t>
      </w:r>
      <w:proofErr w:type="spellStart"/>
      <w:r>
        <w:rPr>
          <w:color w:val="000000"/>
        </w:rPr>
        <w:t>Büchnertrichter</w:t>
      </w:r>
      <w:proofErr w:type="spellEnd"/>
      <w:r>
        <w:rPr>
          <w:color w:val="000000"/>
        </w:rPr>
        <w:t>, Saugflasche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  <w:t xml:space="preserve">Ethanol, Natriumhydroxid, Salzsäure, Monochloressigsäure, </w:t>
      </w:r>
      <w:proofErr w:type="spellStart"/>
      <w:r>
        <w:rPr>
          <w:color w:val="000000"/>
        </w:rPr>
        <w:t>Dichloressigsäure</w:t>
      </w:r>
      <w:proofErr w:type="spellEnd"/>
      <w:r>
        <w:rPr>
          <w:color w:val="000000"/>
        </w:rPr>
        <w:t>, Stärke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Durchführung: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Zunächst wird die Apparatur gemäß Abb. 1 aufgebaut: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8169AD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9AD" w:rsidRDefault="008169AD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3145679" cy="5497920"/>
                  <wp:effectExtent l="0" t="0" r="0" b="0"/>
                  <wp:wrapSquare wrapText="bothSides"/>
                  <wp:docPr id="15" name="Grafik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 t="16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679" cy="549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9AD" w:rsidRDefault="008169AD" w:rsidP="008169AD">
      <w:pPr>
        <w:tabs>
          <w:tab w:val="left" w:pos="-279"/>
          <w:tab w:val="left" w:pos="5"/>
        </w:tabs>
        <w:ind w:hanging="50"/>
        <w:rPr>
          <w:color w:val="000000"/>
        </w:rPr>
      </w:pPr>
      <w:r>
        <w:rPr>
          <w:color w:val="000000"/>
        </w:rPr>
        <w:t>Abb. 1 – Skizze des Versuchsaufbaus</w:t>
      </w:r>
    </w:p>
    <w:p w:rsidR="008169AD" w:rsidRDefault="008169AD" w:rsidP="008169AD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t>16,2 g Stärke, 100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Ethanol sowie 12 g Natriumhydroxid in 25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Wa</w:t>
      </w:r>
      <w:r>
        <w:rPr>
          <w:color w:val="000000"/>
        </w:rPr>
        <w:t>s</w:t>
      </w:r>
      <w:r>
        <w:rPr>
          <w:color w:val="000000"/>
        </w:rPr>
        <w:t>ser werden in den Rundkolben gegeben. Das Gemisch wird über 15 Minuten gerührt und anschließend eine Temperatur von 50 °C eing</w:t>
      </w:r>
      <w:r>
        <w:rPr>
          <w:color w:val="000000"/>
        </w:rPr>
        <w:t>e</w:t>
      </w:r>
      <w:r>
        <w:rPr>
          <w:color w:val="000000"/>
        </w:rPr>
        <w:t>stellt. Das Gemisch wird weitere 20 Minuten gerührt.</w:t>
      </w:r>
    </w:p>
    <w:p w:rsidR="008169AD" w:rsidRDefault="008169AD" w:rsidP="008169AD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t xml:space="preserve">9,4 g Monochloressigsäure werden </w:t>
      </w:r>
      <w:proofErr w:type="spellStart"/>
      <w:r>
        <w:rPr>
          <w:color w:val="000000"/>
        </w:rPr>
        <w:t>hinzugeführt</w:t>
      </w:r>
      <w:proofErr w:type="spellEnd"/>
      <w:r>
        <w:rPr>
          <w:color w:val="000000"/>
        </w:rPr>
        <w:t xml:space="preserve"> und 5 Minuten gerührt, bevor 2,6 g </w:t>
      </w:r>
      <w:proofErr w:type="spellStart"/>
      <w:r>
        <w:rPr>
          <w:color w:val="000000"/>
        </w:rPr>
        <w:t>Dichloressigsäure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hinzugeführt</w:t>
      </w:r>
      <w:proofErr w:type="spellEnd"/>
      <w:r>
        <w:rPr>
          <w:color w:val="000000"/>
        </w:rPr>
        <w:t xml:space="preserve"> werden und weitere 30 Minuten bei 50 °C gerührt wird.</w:t>
      </w:r>
    </w:p>
    <w:p w:rsidR="008169AD" w:rsidRDefault="008169AD" w:rsidP="008169AD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lastRenderedPageBreak/>
        <w:t xml:space="preserve">Die abgekühlte Lösung wird </w:t>
      </w:r>
      <w:proofErr w:type="spellStart"/>
      <w:r>
        <w:rPr>
          <w:color w:val="000000"/>
        </w:rPr>
        <w:t>abdekantiert</w:t>
      </w:r>
      <w:proofErr w:type="spellEnd"/>
      <w:r>
        <w:rPr>
          <w:color w:val="000000"/>
        </w:rPr>
        <w:t xml:space="preserve"> und der Rückstand mit 50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Salzsäure versetzt. Der Rückstand wird zweimal mit Ethanol gewaschen und anschließend </w:t>
      </w:r>
      <w:proofErr w:type="spellStart"/>
      <w:r>
        <w:rPr>
          <w:color w:val="000000"/>
        </w:rPr>
        <w:t>abfiltriert</w:t>
      </w:r>
      <w:proofErr w:type="spellEnd"/>
      <w:r>
        <w:rPr>
          <w:color w:val="000000"/>
        </w:rPr>
        <w:t xml:space="preserve"> und eine Stunde bei 60°C getrocknet.</w:t>
      </w:r>
    </w:p>
    <w:p w:rsidR="008169AD" w:rsidRDefault="008169AD" w:rsidP="008169AD">
      <w:pPr>
        <w:tabs>
          <w:tab w:val="left" w:pos="1683"/>
          <w:tab w:val="left" w:pos="1967"/>
        </w:tabs>
        <w:ind w:left="1962" w:firstLine="35"/>
        <w:rPr>
          <w:color w:val="000000"/>
        </w:rPr>
      </w:pPr>
      <w:r>
        <w:rPr>
          <w:color w:val="000000"/>
        </w:rPr>
        <w:t>Das getrocknete Produkt wird fein zerrieben. In zwei Reagenzgläsern werden 2 g des Produktes bzw. 2 g Stärke mit jeweils 15 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Wasser ve</w:t>
      </w:r>
      <w:r>
        <w:rPr>
          <w:color w:val="000000"/>
        </w:rPr>
        <w:t>r</w:t>
      </w:r>
      <w:r>
        <w:rPr>
          <w:color w:val="000000"/>
        </w:rPr>
        <w:t>setzt. Anschließend werden die Reagenzgläser geschüttelt.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Durch die Zugabe von Mono- und </w:t>
      </w:r>
      <w:proofErr w:type="spellStart"/>
      <w:r>
        <w:rPr>
          <w:color w:val="000000"/>
        </w:rPr>
        <w:t>Dichloressigsäure</w:t>
      </w:r>
      <w:proofErr w:type="spellEnd"/>
      <w:r>
        <w:rPr>
          <w:color w:val="000000"/>
        </w:rPr>
        <w:t xml:space="preserve"> wird die Lösung vi</w:t>
      </w:r>
      <w:r>
        <w:rPr>
          <w:color w:val="000000"/>
        </w:rPr>
        <w:t>s</w:t>
      </w:r>
      <w:r>
        <w:rPr>
          <w:color w:val="000000"/>
        </w:rPr>
        <w:t>koser. Durch Zusatz von Salzsäure fällt ein weißer Feststoff aus.</w:t>
      </w:r>
    </w:p>
    <w:p w:rsidR="008169AD" w:rsidRDefault="008169AD" w:rsidP="008169AD">
      <w:pPr>
        <w:tabs>
          <w:tab w:val="left" w:pos="1701"/>
          <w:tab w:val="left" w:pos="1985"/>
        </w:tabs>
        <w:ind w:left="1980" w:firstLine="13"/>
        <w:rPr>
          <w:color w:val="000000"/>
        </w:rPr>
      </w:pPr>
      <w:r>
        <w:rPr>
          <w:color w:val="000000"/>
        </w:rPr>
        <w:t xml:space="preserve">Beim Schütteln mit Wasser entsteht in dem Reagenzglas ein festes Gel. In dem Reagenzglas mit Stärke </w:t>
      </w:r>
      <w:proofErr w:type="gramStart"/>
      <w:r>
        <w:rPr>
          <w:color w:val="000000"/>
        </w:rPr>
        <w:t>ist</w:t>
      </w:r>
      <w:proofErr w:type="gramEnd"/>
      <w:r>
        <w:rPr>
          <w:color w:val="000000"/>
        </w:rPr>
        <w:t xml:space="preserve"> keine Löslichkeit und keine Gelbildung zu beobachten.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Stärke ist ein Polysaccharid, das aus </w:t>
      </w:r>
      <w:proofErr w:type="spellStart"/>
      <w:r>
        <w:rPr>
          <w:color w:val="000000"/>
        </w:rPr>
        <w:t>Glucoseeinheiten</w:t>
      </w:r>
      <w:proofErr w:type="spellEnd"/>
      <w:r>
        <w:rPr>
          <w:color w:val="000000"/>
        </w:rPr>
        <w:t xml:space="preserve"> aufgebaut ist. In der Abbildung werden </w:t>
      </w:r>
      <w:proofErr w:type="spellStart"/>
      <w:r>
        <w:rPr>
          <w:color w:val="000000"/>
        </w:rPr>
        <w:t>Hydroxygruppen</w:t>
      </w:r>
      <w:proofErr w:type="spellEnd"/>
      <w:r>
        <w:rPr>
          <w:color w:val="000000"/>
        </w:rPr>
        <w:t xml:space="preserve"> hervorgehoben, die durch Zugabe von Natriumhydroxid </w:t>
      </w:r>
      <w:proofErr w:type="spellStart"/>
      <w:r>
        <w:rPr>
          <w:color w:val="000000"/>
        </w:rPr>
        <w:t>deprotoniert</w:t>
      </w:r>
      <w:proofErr w:type="spellEnd"/>
      <w:r>
        <w:rPr>
          <w:color w:val="000000"/>
        </w:rPr>
        <w:t xml:space="preserve"> werden: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8169AD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9AD" w:rsidRDefault="008169AD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0</wp:posOffset>
                  </wp:positionV>
                  <wp:extent cx="3857759" cy="3019320"/>
                  <wp:effectExtent l="0" t="0" r="0" b="0"/>
                  <wp:wrapSquare wrapText="bothSides"/>
                  <wp:docPr id="16" name="Grafik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759" cy="301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Abb. 3 – Die </w:t>
      </w:r>
      <w:proofErr w:type="spellStart"/>
      <w:r>
        <w:rPr>
          <w:color w:val="000000"/>
        </w:rPr>
        <w:t>Hydroxygruppen</w:t>
      </w:r>
      <w:proofErr w:type="spellEnd"/>
      <w:r>
        <w:rPr>
          <w:color w:val="000000"/>
        </w:rPr>
        <w:t xml:space="preserve"> der Stärke werden </w:t>
      </w:r>
      <w:proofErr w:type="spellStart"/>
      <w:r>
        <w:rPr>
          <w:color w:val="000000"/>
        </w:rPr>
        <w:t>deprotoniert</w:t>
      </w:r>
      <w:proofErr w:type="spellEnd"/>
      <w:r>
        <w:rPr>
          <w:color w:val="000000"/>
        </w:rPr>
        <w:t xml:space="preserve">. </w:t>
      </w:r>
      <w:r>
        <w:rPr>
          <w:color w:val="000000"/>
          <w:sz w:val="16"/>
          <w:szCs w:val="16"/>
        </w:rPr>
        <w:t xml:space="preserve">(A. Gerner, </w:t>
      </w:r>
      <w:hyperlink r:id="rId19" w:history="1">
        <w:r w:rsidRPr="00B53B74">
          <w:rPr>
            <w:rStyle w:val="Hyperlink"/>
            <w:sz w:val="16"/>
            <w:szCs w:val="16"/>
          </w:rPr>
          <w:t>http://www.chids.de/dachs/wiss_hausarbeiten/Kohlenhydrate_Gerner/Examensarbeit.pdf</w:t>
        </w:r>
      </w:hyperlink>
      <w:r>
        <w:rPr>
          <w:color w:val="000000"/>
          <w:sz w:val="16"/>
          <w:szCs w:val="16"/>
        </w:rPr>
        <w:t>, S. 303, z</w:t>
      </w:r>
      <w:r>
        <w:rPr>
          <w:color w:val="000000"/>
          <w:sz w:val="16"/>
          <w:szCs w:val="16"/>
        </w:rPr>
        <w:t>u</w:t>
      </w:r>
      <w:r>
        <w:rPr>
          <w:color w:val="000000"/>
          <w:sz w:val="16"/>
          <w:szCs w:val="16"/>
        </w:rPr>
        <w:t>letzt abgerufen am 11.8.2013, 18.52 Uhr)</w:t>
      </w:r>
    </w:p>
    <w:p w:rsidR="008169AD" w:rsidRDefault="008169AD" w:rsidP="008169AD">
      <w:pPr>
        <w:tabs>
          <w:tab w:val="left" w:pos="1701"/>
          <w:tab w:val="left" w:pos="1985"/>
        </w:tabs>
        <w:ind w:left="1980"/>
        <w:rPr>
          <w:color w:val="000000"/>
        </w:rPr>
      </w:pPr>
      <w:r>
        <w:rPr>
          <w:color w:val="000000"/>
        </w:rPr>
        <w:t xml:space="preserve">Über eine </w:t>
      </w:r>
      <w:proofErr w:type="spellStart"/>
      <w:r>
        <w:rPr>
          <w:color w:val="000000"/>
        </w:rPr>
        <w:t>nucleophile</w:t>
      </w:r>
      <w:proofErr w:type="spellEnd"/>
      <w:r>
        <w:rPr>
          <w:color w:val="000000"/>
        </w:rPr>
        <w:t xml:space="preserve"> Substitution (S</w:t>
      </w:r>
      <w:r>
        <w:rPr>
          <w:color w:val="000000"/>
          <w:vertAlign w:val="subscript"/>
        </w:rPr>
        <w:t>N2</w:t>
      </w:r>
      <w:r>
        <w:rPr>
          <w:color w:val="000000"/>
        </w:rPr>
        <w:t xml:space="preserve">) greift die </w:t>
      </w:r>
      <w:proofErr w:type="spellStart"/>
      <w:r>
        <w:rPr>
          <w:color w:val="000000"/>
        </w:rPr>
        <w:t>Alkoholatgruppe</w:t>
      </w:r>
      <w:proofErr w:type="spellEnd"/>
      <w:r>
        <w:rPr>
          <w:color w:val="000000"/>
        </w:rPr>
        <w:t xml:space="preserve"> die </w:t>
      </w:r>
      <w:r>
        <w:rPr>
          <w:rFonts w:ascii="Ubuntu" w:hAnsi="Ubuntu"/>
          <w:color w:val="000000"/>
        </w:rPr>
        <w:t>α</w:t>
      </w:r>
      <w:r>
        <w:rPr>
          <w:color w:val="000000"/>
        </w:rPr>
        <w:t xml:space="preserve">-C-Atome der Mono- und </w:t>
      </w:r>
      <w:proofErr w:type="spellStart"/>
      <w:r>
        <w:rPr>
          <w:color w:val="000000"/>
        </w:rPr>
        <w:t>Dichloressigsäuremoleküle</w:t>
      </w:r>
      <w:proofErr w:type="spellEnd"/>
      <w:r>
        <w:rPr>
          <w:color w:val="000000"/>
        </w:rPr>
        <w:t xml:space="preserve"> an. Dabei entstehen </w:t>
      </w:r>
      <w:proofErr w:type="spellStart"/>
      <w:r>
        <w:rPr>
          <w:color w:val="000000"/>
        </w:rPr>
        <w:t>Chloridionen</w:t>
      </w:r>
      <w:proofErr w:type="spellEnd"/>
      <w:r>
        <w:rPr>
          <w:color w:val="000000"/>
        </w:rPr>
        <w:t xml:space="preserve"> und ein Ether: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8169AD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9AD" w:rsidRDefault="008169AD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-635</wp:posOffset>
                  </wp:positionV>
                  <wp:extent cx="3692525" cy="2620010"/>
                  <wp:effectExtent l="19050" t="0" r="3175" b="0"/>
                  <wp:wrapSquare wrapText="bothSides"/>
                  <wp:docPr id="17" name="Grafik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525" cy="26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Abb. 4 – </w:t>
      </w:r>
      <w:proofErr w:type="spellStart"/>
      <w:r>
        <w:rPr>
          <w:color w:val="000000"/>
        </w:rPr>
        <w:t>Nucleophile</w:t>
      </w:r>
      <w:proofErr w:type="spellEnd"/>
      <w:r>
        <w:rPr>
          <w:color w:val="000000"/>
        </w:rPr>
        <w:t xml:space="preserve"> Substitution an der Mono- und </w:t>
      </w:r>
      <w:proofErr w:type="spellStart"/>
      <w:r>
        <w:rPr>
          <w:color w:val="000000"/>
        </w:rPr>
        <w:t>Dichloressigsäure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 xml:space="preserve">(A. Gerner, </w:t>
      </w:r>
      <w:hyperlink r:id="rId21" w:history="1">
        <w:r>
          <w:rPr>
            <w:color w:val="000000"/>
            <w:sz w:val="16"/>
            <w:szCs w:val="16"/>
          </w:rPr>
          <w:t>http://www.chids.de/dachs/wiss_hausarbeiten/Kohlenhydrate_Gerner/Examensarbeit.pdf</w:t>
        </w:r>
      </w:hyperlink>
      <w:r>
        <w:rPr>
          <w:color w:val="000000"/>
          <w:sz w:val="16"/>
          <w:szCs w:val="16"/>
        </w:rPr>
        <w:t>, S. 304, z</w:t>
      </w:r>
      <w:r>
        <w:rPr>
          <w:color w:val="000000"/>
          <w:sz w:val="16"/>
          <w:szCs w:val="16"/>
        </w:rPr>
        <w:t>u</w:t>
      </w:r>
      <w:r>
        <w:rPr>
          <w:color w:val="000000"/>
          <w:sz w:val="16"/>
          <w:szCs w:val="16"/>
        </w:rPr>
        <w:t>letzt abgerufen am 11.8.2013, 18.52 Uhr)</w:t>
      </w:r>
    </w:p>
    <w:p w:rsidR="008169AD" w:rsidRDefault="008169AD" w:rsidP="008169AD">
      <w:pPr>
        <w:tabs>
          <w:tab w:val="left" w:pos="1701"/>
          <w:tab w:val="left" w:pos="1985"/>
        </w:tabs>
        <w:ind w:left="1980" w:firstLine="13"/>
        <w:rPr>
          <w:color w:val="000000"/>
        </w:rPr>
      </w:pPr>
      <w:r>
        <w:rPr>
          <w:color w:val="000000"/>
        </w:rPr>
        <w:t xml:space="preserve">Die </w:t>
      </w:r>
      <w:proofErr w:type="spellStart"/>
      <w:r>
        <w:rPr>
          <w:color w:val="000000"/>
        </w:rPr>
        <w:t>Dichloressigsäure</w:t>
      </w:r>
      <w:proofErr w:type="spellEnd"/>
      <w:r>
        <w:rPr>
          <w:color w:val="000000"/>
        </w:rPr>
        <w:t xml:space="preserve"> kann ein weiteres Mal angegriffen werden. Dadurch entsteht ein dreidimensionales Netz.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2"/>
      </w:tblGrid>
      <w:tr w:rsidR="008169AD" w:rsidTr="00796EAD">
        <w:tblPrEx>
          <w:tblCellMar>
            <w:top w:w="0" w:type="dxa"/>
            <w:bottom w:w="0" w:type="dxa"/>
          </w:tblCellMar>
        </w:tblPrEx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9AD" w:rsidRDefault="008169AD" w:rsidP="00796EAD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1270</wp:posOffset>
                  </wp:positionV>
                  <wp:extent cx="2955925" cy="4011930"/>
                  <wp:effectExtent l="19050" t="0" r="0" b="0"/>
                  <wp:wrapSquare wrapText="bothSides"/>
                  <wp:docPr id="18" name="Grafik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401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 xml:space="preserve">Abb. 5 – Die Stärkemoleküle werden miteinander vernetzt. </w:t>
      </w:r>
      <w:r>
        <w:rPr>
          <w:color w:val="000000"/>
          <w:sz w:val="16"/>
          <w:szCs w:val="16"/>
        </w:rPr>
        <w:t xml:space="preserve">(A. Gerner, </w:t>
      </w:r>
      <w:hyperlink r:id="rId23" w:history="1">
        <w:r>
          <w:rPr>
            <w:color w:val="000000"/>
            <w:sz w:val="16"/>
            <w:szCs w:val="16"/>
          </w:rPr>
          <w:t>http://www.chids.de/dachs/wiss_hausarbeiten/Kohlenhydrate_Gerner/Examensarbeit.pdf</w:t>
        </w:r>
      </w:hyperlink>
      <w:r>
        <w:rPr>
          <w:color w:val="000000"/>
          <w:sz w:val="16"/>
          <w:szCs w:val="16"/>
        </w:rPr>
        <w:t>, S. 305, z</w:t>
      </w:r>
      <w:r>
        <w:rPr>
          <w:color w:val="000000"/>
          <w:sz w:val="16"/>
          <w:szCs w:val="16"/>
        </w:rPr>
        <w:t>u</w:t>
      </w:r>
      <w:r>
        <w:rPr>
          <w:color w:val="000000"/>
          <w:sz w:val="16"/>
          <w:szCs w:val="16"/>
        </w:rPr>
        <w:t>letzt abgerufen am 11.8.2013, 18.52 Uhr)</w:t>
      </w:r>
    </w:p>
    <w:p w:rsidR="008169AD" w:rsidRDefault="008169AD" w:rsidP="008169AD">
      <w:pPr>
        <w:tabs>
          <w:tab w:val="left" w:pos="1701"/>
          <w:tab w:val="left" w:pos="1985"/>
        </w:tabs>
        <w:ind w:left="1980" w:firstLine="13"/>
        <w:rPr>
          <w:color w:val="000000"/>
        </w:rPr>
      </w:pPr>
      <w:r>
        <w:rPr>
          <w:color w:val="000000"/>
        </w:rPr>
        <w:lastRenderedPageBreak/>
        <w:t xml:space="preserve">Die absorbierende Wirkung des Produktes beruht auf den </w:t>
      </w:r>
      <w:proofErr w:type="spellStart"/>
      <w:r>
        <w:rPr>
          <w:color w:val="000000"/>
        </w:rPr>
        <w:t>Carboxylgruppen</w:t>
      </w:r>
      <w:proofErr w:type="spellEnd"/>
      <w:r>
        <w:rPr>
          <w:color w:val="000000"/>
        </w:rPr>
        <w:t xml:space="preserve">. In Wasser werden diese </w:t>
      </w:r>
      <w:proofErr w:type="spellStart"/>
      <w:r>
        <w:rPr>
          <w:color w:val="000000"/>
        </w:rPr>
        <w:t>deprotoniert</w:t>
      </w:r>
      <w:proofErr w:type="spellEnd"/>
      <w:r>
        <w:rPr>
          <w:color w:val="000000"/>
        </w:rPr>
        <w:t xml:space="preserve"> und es entstehen </w:t>
      </w:r>
      <w:proofErr w:type="spellStart"/>
      <w:r>
        <w:rPr>
          <w:color w:val="000000"/>
        </w:rPr>
        <w:t>Hydroxioniumionen</w:t>
      </w:r>
      <w:proofErr w:type="spellEnd"/>
      <w:r>
        <w:rPr>
          <w:color w:val="000000"/>
        </w:rPr>
        <w:t>. Innerhalb des Absorbers entsteht eine hohe negative Ladungsdichte. Diese wird (analog zur Osmose) dadurch ausgeglichen, dass Wassermoleküle in den Absorber diffundieren und dort durch Wa</w:t>
      </w:r>
      <w:r>
        <w:rPr>
          <w:color w:val="000000"/>
        </w:rPr>
        <w:t>s</w:t>
      </w:r>
      <w:r>
        <w:rPr>
          <w:color w:val="000000"/>
        </w:rPr>
        <w:t>serstoffbrückenbindungen gebunden werden.</w:t>
      </w:r>
    </w:p>
    <w:p w:rsidR="008169AD" w:rsidRDefault="008169AD" w:rsidP="008169AD">
      <w:pPr>
        <w:tabs>
          <w:tab w:val="left" w:pos="1701"/>
          <w:tab w:val="left" w:pos="1985"/>
        </w:tabs>
        <w:ind w:left="1980" w:hanging="1980"/>
        <w:rPr>
          <w:color w:val="000000"/>
        </w:rPr>
      </w:pPr>
      <w:r>
        <w:rPr>
          <w:color w:val="000000"/>
        </w:rPr>
        <w:t>Entsorgung:</w:t>
      </w:r>
      <w:r>
        <w:rPr>
          <w:color w:val="000000"/>
        </w:rPr>
        <w:tab/>
      </w:r>
      <w:r>
        <w:rPr>
          <w:color w:val="000000"/>
        </w:rPr>
        <w:tab/>
        <w:t>Stärke und das Produkt können im Haushaltsmüll entsorgt werden. Die bei der Reaktion entstehenden Flüssigkeiten werden über die organischen A</w:t>
      </w:r>
      <w:r>
        <w:rPr>
          <w:color w:val="000000"/>
        </w:rPr>
        <w:t>b</w:t>
      </w:r>
      <w:r>
        <w:rPr>
          <w:color w:val="000000"/>
        </w:rPr>
        <w:t>fälle entsorgt.</w:t>
      </w:r>
    </w:p>
    <w:p w:rsidR="008169AD" w:rsidRDefault="008169AD" w:rsidP="008169AD">
      <w:pPr>
        <w:spacing w:line="276" w:lineRule="auto"/>
        <w:ind w:left="1985" w:hanging="1985"/>
        <w:jc w:val="left"/>
        <w:rPr>
          <w:color w:val="000000"/>
        </w:rPr>
      </w:pPr>
      <w:r>
        <w:rPr>
          <w:color w:val="000000"/>
        </w:rPr>
        <w:t>Literatur:</w:t>
      </w:r>
      <w:r>
        <w:rPr>
          <w:color w:val="000000"/>
        </w:rPr>
        <w:tab/>
        <w:t xml:space="preserve">[1] (A. Gerner, </w:t>
      </w:r>
      <w:hyperlink r:id="rId24" w:history="1">
        <w:r>
          <w:t>http://www.chids.de/dachs/wiss_hausarbeiten/Kohlenhydrate_Gerner/Examensarbeit.pdf</w:t>
        </w:r>
      </w:hyperlink>
      <w:r>
        <w:rPr>
          <w:color w:val="000000"/>
        </w:rPr>
        <w:t xml:space="preserve">, S. 298-308, zuletzt abgerufen am 11.8.2013, 18.52 Uhr) </w:t>
      </w:r>
    </w:p>
    <w:p w:rsidR="008169AD" w:rsidRDefault="008169AD" w:rsidP="008169AD">
      <w:pPr>
        <w:spacing w:line="276" w:lineRule="auto"/>
        <w:jc w:val="left"/>
      </w:pPr>
      <w:r w:rsidRPr="00156B93">
        <w:rPr>
          <w:color w:val="000000"/>
          <w:lang w:eastAsia="de-DE"/>
        </w:rPr>
      </w:r>
      <w:r>
        <w:rPr>
          <w:color w:val="000000"/>
          <w:lang w:eastAsia="de-DE"/>
        </w:rPr>
        <w:pict>
          <v:shape id="Text Box 131" o:spid="_x0000_s1026" type="#_x0000_t202" style="width:462.45pt;height:2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c0504d" strokeweight=".99pt">
            <v:stroke dashstyle="dash"/>
            <v:textbox style="mso-rotate-with-shape:t">
              <w:txbxContent>
                <w:p w:rsidR="008169AD" w:rsidRDefault="008169AD" w:rsidP="008169AD">
                  <w:r>
                    <w:rPr>
                      <w:b/>
                      <w:color w:val="000000"/>
                    </w:rPr>
                    <w:t>Unterrichtsanschlüsse</w:t>
                  </w:r>
                </w:p>
                <w:p w:rsidR="008169AD" w:rsidRDefault="008169AD" w:rsidP="008169AD">
                  <w:r>
                    <w:rPr>
                      <w:color w:val="000000"/>
                    </w:rPr>
                    <w:t>Der Versuch kann eingesetzt werden, um den Alltagsbezug organischer Reaktionsmechani</w:t>
                  </w:r>
                  <w:r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>men zu verdeutlichen. Daher lässt sich auch die Williamson-Ether-Synthese mit diesem Ve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>such wiederholen.</w:t>
                  </w:r>
                </w:p>
                <w:p w:rsidR="008169AD" w:rsidRDefault="008169AD" w:rsidP="008169AD">
                  <w:r>
                    <w:rPr>
                      <w:color w:val="000000"/>
                    </w:rPr>
                    <w:t>Der Versuch eignet sich auch, um Kohlenhydrate und ihre möglichen Anwendungen zu disk</w:t>
                  </w:r>
                  <w:r>
                    <w:rPr>
                      <w:color w:val="000000"/>
                    </w:rPr>
                    <w:t>u</w:t>
                  </w:r>
                  <w:r>
                    <w:rPr>
                      <w:color w:val="000000"/>
                    </w:rPr>
                    <w:t>tieren.</w:t>
                  </w:r>
                </w:p>
                <w:p w:rsidR="008169AD" w:rsidRDefault="008169AD" w:rsidP="008169AD">
                  <w:r>
                    <w:rPr>
                      <w:color w:val="000000"/>
                    </w:rPr>
                    <w:t>Der Versuch kann mit der entsprechenden Vorbereitung innerhalb einer Doppelstunde durc</w:t>
                  </w:r>
                  <w:r>
                    <w:rPr>
                      <w:color w:val="000000"/>
                    </w:rPr>
                    <w:t>h</w:t>
                  </w:r>
                  <w:r>
                    <w:rPr>
                      <w:color w:val="000000"/>
                    </w:rPr>
                    <w:t>geführt werden. Er zeigt damit auf, wie zeitintensiv organische Synthesen sein können. Eine Analyse der Eigenschaften des Reaktionsproduktes kann erst in der darauf folgenden Unte</w:t>
                  </w: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 xml:space="preserve">richtsstunde vorgenommen werden, da das Produkt trocknen muss. In einem Kurs auf </w:t>
                  </w:r>
                  <w:proofErr w:type="gramStart"/>
                  <w:r>
                    <w:rPr>
                      <w:color w:val="000000"/>
                    </w:rPr>
                    <w:t>erwe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</w:rPr>
                    <w:t>terten</w:t>
                  </w:r>
                  <w:proofErr w:type="gramEnd"/>
                  <w:r>
                    <w:rPr>
                      <w:color w:val="000000"/>
                    </w:rPr>
                    <w:t xml:space="preserve"> Leistungsniveau erscheint dies möglich.</w:t>
                  </w:r>
                </w:p>
                <w:p w:rsidR="008169AD" w:rsidRDefault="008169AD" w:rsidP="008169AD"/>
              </w:txbxContent>
            </v:textbox>
            <w10:wrap type="none"/>
            <w10:anchorlock/>
          </v:shape>
        </w:pict>
      </w:r>
    </w:p>
    <w:p w:rsidR="008169AD" w:rsidRDefault="008169AD" w:rsidP="008169AD">
      <w:pPr>
        <w:tabs>
          <w:tab w:val="left" w:pos="-279"/>
          <w:tab w:val="left" w:pos="5"/>
        </w:tabs>
      </w:pPr>
    </w:p>
    <w:p w:rsidR="008169AD" w:rsidRDefault="008169AD" w:rsidP="008169AD">
      <w:pPr>
        <w:pStyle w:val="Heading2"/>
        <w:numPr>
          <w:ilvl w:val="0"/>
          <w:numId w:val="0"/>
        </w:numPr>
        <w:ind w:left="576" w:hanging="576"/>
      </w:pPr>
    </w:p>
    <w:p w:rsidR="008169AD" w:rsidRDefault="008169AD" w:rsidP="008169AD"/>
    <w:p w:rsidR="008169AD" w:rsidRDefault="008169AD" w:rsidP="008169AD"/>
    <w:p w:rsidR="008169AD" w:rsidRPr="008169AD" w:rsidRDefault="008169AD" w:rsidP="008169AD"/>
    <w:sectPr w:rsidR="008169AD" w:rsidRPr="008169AD" w:rsidSect="00105256">
      <w:headerReference w:type="default" r:id="rId25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873420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8169AD" w:rsidRPr="008169AD">
              <w:rPr>
                <w:b/>
                <w:bCs/>
                <w:noProof/>
                <w:sz w:val="20"/>
                <w:szCs w:val="20"/>
              </w:rPr>
              <w:t>V1  –</w:t>
            </w:r>
            <w:r w:rsidR="008169AD">
              <w:rPr>
                <w:noProof/>
              </w:rPr>
              <w:t xml:space="preserve">  Synthese eines Superabsorbers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873420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169AD">
            <w:rPr>
              <w:noProof/>
              <w:sz w:val="20"/>
              <w:szCs w:val="20"/>
            </w:rPr>
            <w:t>5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5A01F8"/>
    <w:multiLevelType w:val="multilevel"/>
    <w:tmpl w:val="599ACC7C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de-D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1FE9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69AD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3420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231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WWOutlineListStyle">
    <w:name w:val="WW_OutlineListStyle"/>
    <w:basedOn w:val="KeineListe"/>
    <w:rsid w:val="008169AD"/>
    <w:pPr>
      <w:numPr>
        <w:numId w:val="14"/>
      </w:numPr>
    </w:pPr>
  </w:style>
  <w:style w:type="paragraph" w:customStyle="1" w:styleId="Heading1">
    <w:name w:val="Heading 1"/>
    <w:basedOn w:val="Standard"/>
    <w:next w:val="Standard"/>
    <w:rsid w:val="008169AD"/>
    <w:pPr>
      <w:keepNext/>
      <w:keepLines/>
      <w:numPr>
        <w:numId w:val="14"/>
      </w:numPr>
      <w:autoSpaceDN w:val="0"/>
      <w:spacing w:before="360" w:after="240"/>
      <w:textAlignment w:val="baseline"/>
      <w:outlineLvl w:val="0"/>
    </w:pPr>
    <w:rPr>
      <w:rFonts w:eastAsia="MS Gothic"/>
      <w:b/>
      <w:bCs/>
      <w:sz w:val="28"/>
      <w:szCs w:val="28"/>
    </w:rPr>
  </w:style>
  <w:style w:type="paragraph" w:customStyle="1" w:styleId="Heading2">
    <w:name w:val="Heading 2"/>
    <w:basedOn w:val="Standard"/>
    <w:next w:val="Standard"/>
    <w:rsid w:val="008169AD"/>
    <w:pPr>
      <w:keepNext/>
      <w:keepLines/>
      <w:numPr>
        <w:ilvl w:val="1"/>
        <w:numId w:val="14"/>
      </w:numPr>
      <w:autoSpaceDN w:val="0"/>
      <w:spacing w:before="200"/>
      <w:textAlignment w:val="baseline"/>
      <w:outlineLvl w:val="1"/>
    </w:pPr>
    <w:rPr>
      <w:rFonts w:eastAsia="MS Gothic"/>
      <w:b/>
      <w:bCs/>
      <w:szCs w:val="26"/>
    </w:rPr>
  </w:style>
  <w:style w:type="paragraph" w:customStyle="1" w:styleId="Heading3">
    <w:name w:val="Heading 3"/>
    <w:basedOn w:val="Standard"/>
    <w:next w:val="Standard"/>
    <w:rsid w:val="008169AD"/>
    <w:pPr>
      <w:keepNext/>
      <w:keepLines/>
      <w:numPr>
        <w:ilvl w:val="2"/>
        <w:numId w:val="14"/>
      </w:numPr>
      <w:autoSpaceDN w:val="0"/>
      <w:spacing w:before="200" w:after="120"/>
      <w:textAlignment w:val="baseline"/>
      <w:outlineLvl w:val="2"/>
    </w:pPr>
    <w:rPr>
      <w:rFonts w:eastAsia="MS Gothic"/>
      <w:b/>
      <w:bCs/>
      <w:i/>
    </w:rPr>
  </w:style>
  <w:style w:type="paragraph" w:customStyle="1" w:styleId="Heading4">
    <w:name w:val="Heading 4"/>
    <w:basedOn w:val="Standard"/>
    <w:next w:val="Standard"/>
    <w:rsid w:val="008169AD"/>
    <w:pPr>
      <w:keepNext/>
      <w:keepLines/>
      <w:numPr>
        <w:ilvl w:val="3"/>
        <w:numId w:val="14"/>
      </w:numPr>
      <w:autoSpaceDN w:val="0"/>
      <w:spacing w:before="200" w:after="0"/>
      <w:textAlignment w:val="baseline"/>
      <w:outlineLvl w:val="3"/>
    </w:pPr>
    <w:rPr>
      <w:rFonts w:eastAsia="MS Gothic"/>
      <w:b/>
      <w:bCs/>
      <w:i/>
      <w:iCs/>
      <w:color w:val="4F81BD"/>
    </w:rPr>
  </w:style>
  <w:style w:type="paragraph" w:customStyle="1" w:styleId="Heading5">
    <w:name w:val="Heading 5"/>
    <w:basedOn w:val="Standard"/>
    <w:next w:val="Standard"/>
    <w:rsid w:val="008169AD"/>
    <w:pPr>
      <w:keepNext/>
      <w:keepLines/>
      <w:numPr>
        <w:ilvl w:val="4"/>
        <w:numId w:val="14"/>
      </w:numPr>
      <w:autoSpaceDN w:val="0"/>
      <w:spacing w:before="200" w:after="0"/>
      <w:textAlignment w:val="baseline"/>
      <w:outlineLvl w:val="4"/>
    </w:pPr>
    <w:rPr>
      <w:rFonts w:eastAsia="MS Gothic"/>
      <w:color w:val="243F60"/>
    </w:rPr>
  </w:style>
  <w:style w:type="paragraph" w:customStyle="1" w:styleId="Heading6">
    <w:name w:val="Heading 6"/>
    <w:basedOn w:val="Standard"/>
    <w:next w:val="Standard"/>
    <w:rsid w:val="008169AD"/>
    <w:pPr>
      <w:keepNext/>
      <w:keepLines/>
      <w:numPr>
        <w:ilvl w:val="5"/>
        <w:numId w:val="14"/>
      </w:numPr>
      <w:autoSpaceDN w:val="0"/>
      <w:spacing w:before="200" w:after="0"/>
      <w:textAlignment w:val="baseline"/>
      <w:outlineLvl w:val="5"/>
    </w:pPr>
    <w:rPr>
      <w:rFonts w:eastAsia="MS Gothic"/>
      <w:i/>
      <w:iCs/>
      <w:color w:val="243F60"/>
    </w:rPr>
  </w:style>
  <w:style w:type="paragraph" w:customStyle="1" w:styleId="Heading7">
    <w:name w:val="Heading 7"/>
    <w:basedOn w:val="Standard"/>
    <w:next w:val="Standard"/>
    <w:rsid w:val="008169AD"/>
    <w:pPr>
      <w:keepNext/>
      <w:keepLines/>
      <w:numPr>
        <w:ilvl w:val="6"/>
        <w:numId w:val="14"/>
      </w:numPr>
      <w:autoSpaceDN w:val="0"/>
      <w:spacing w:before="200" w:after="0"/>
      <w:textAlignment w:val="baseline"/>
      <w:outlineLvl w:val="6"/>
    </w:pPr>
    <w:rPr>
      <w:rFonts w:eastAsia="MS Gothic"/>
      <w:i/>
      <w:iCs/>
      <w:color w:val="404040"/>
    </w:rPr>
  </w:style>
  <w:style w:type="paragraph" w:customStyle="1" w:styleId="Heading8">
    <w:name w:val="Heading 8"/>
    <w:basedOn w:val="Standard"/>
    <w:next w:val="Standard"/>
    <w:rsid w:val="008169AD"/>
    <w:pPr>
      <w:keepNext/>
      <w:keepLines/>
      <w:numPr>
        <w:ilvl w:val="7"/>
        <w:numId w:val="14"/>
      </w:numPr>
      <w:autoSpaceDN w:val="0"/>
      <w:spacing w:before="200" w:after="0"/>
      <w:textAlignment w:val="baseline"/>
      <w:outlineLvl w:val="7"/>
    </w:pPr>
    <w:rPr>
      <w:rFonts w:eastAsia="MS Gothic"/>
      <w:color w:val="404040"/>
      <w:sz w:val="20"/>
      <w:szCs w:val="20"/>
    </w:rPr>
  </w:style>
  <w:style w:type="paragraph" w:customStyle="1" w:styleId="Heading9">
    <w:name w:val="Heading 9"/>
    <w:basedOn w:val="Standard"/>
    <w:next w:val="Standard"/>
    <w:rsid w:val="008169AD"/>
    <w:pPr>
      <w:keepNext/>
      <w:keepLines/>
      <w:numPr>
        <w:ilvl w:val="8"/>
        <w:numId w:val="14"/>
      </w:numPr>
      <w:autoSpaceDN w:val="0"/>
      <w:spacing w:before="200" w:after="0"/>
      <w:textAlignment w:val="baseline"/>
      <w:outlineLvl w:val="8"/>
    </w:pPr>
    <w:rPr>
      <w:rFonts w:eastAsia="MS Gothic"/>
      <w:i/>
      <w:iCs/>
      <w:color w:val="404040"/>
      <w:sz w:val="20"/>
      <w:szCs w:val="20"/>
    </w:rPr>
  </w:style>
  <w:style w:type="paragraph" w:customStyle="1" w:styleId="TableContents">
    <w:name w:val="Table Contents"/>
    <w:basedOn w:val="Standard"/>
    <w:rsid w:val="008169AD"/>
    <w:pPr>
      <w:suppressLineNumber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hids.de/dachs/wiss_hausarbeiten/Kohlenhydrate_Gerner/Examensarbeit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chids.de/dachs/wiss_hausarbeiten/Kohlenhydrate_Gerner/Examensarbeit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chids.de/dachs/wiss_hausarbeiten/Kohlenhydrate_Gerner/Examensarbeit.pdf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www.chids.de/dachs/wiss_hausarbeiten/Kohlenhydrate_Gerner/Examensarbei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C664-2706-44B1-A252-055C2A86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lukas.riehl</cp:lastModifiedBy>
  <cp:revision>4</cp:revision>
  <cp:lastPrinted>2012-06-21T19:47:00Z</cp:lastPrinted>
  <dcterms:created xsi:type="dcterms:W3CDTF">2013-07-10T10:55:00Z</dcterms:created>
  <dcterms:modified xsi:type="dcterms:W3CDTF">2013-08-14T19:40:00Z</dcterms:modified>
</cp:coreProperties>
</file>