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Default="0032406F" w:rsidP="001B1A06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bookmarkStart w:id="1" w:name="_Toc33385034014"/>
      <w:bookmarkStart w:id="2" w:name="__RefHeading__1832_539488469"/>
      <w:r w:rsidRPr="00156B93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hmen10" o:spid="_x0000_s1028" type="#_x0000_t202" style="position:absolute;left:0;text-align:left;margin-left:-2.85pt;margin-top:46.85pt;width:462.45pt;height:92pt;z-index:251661312;visibility:visible;mso-wrap-style:square;mso-position-horizontal-relative:text;mso-position-vertical-relative:text;v-text-anchor:top" strokecolor="#4bacc6" strokeweight=".99pt">
            <v:stroke dashstyle="dash"/>
            <v:textbox style="mso-next-textbox:#Rahmen10;mso-rotate-with-shape:t">
              <w:txbxContent>
                <w:p w:rsidR="0032406F" w:rsidRDefault="0032406F" w:rsidP="003240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In diesem Versuch werden aus verschiedenen </w:t>
                  </w:r>
                  <w:proofErr w:type="spellStart"/>
                  <w:r>
                    <w:rPr>
                      <w:color w:val="000000"/>
                    </w:rPr>
                    <w:t>Alkanolen</w:t>
                  </w:r>
                  <w:proofErr w:type="spellEnd"/>
                  <w:r>
                    <w:rPr>
                      <w:color w:val="000000"/>
                    </w:rPr>
                    <w:t xml:space="preserve"> und Carbonsäuren Fruchtester herg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 xml:space="preserve">stellt. Dazu sollten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die Molekülstrukturen von </w:t>
                  </w:r>
                  <w:proofErr w:type="spellStart"/>
                  <w:r>
                    <w:rPr>
                      <w:color w:val="000000"/>
                    </w:rPr>
                    <w:t>Alkanolen</w:t>
                  </w:r>
                  <w:proofErr w:type="spellEnd"/>
                  <w:r>
                    <w:rPr>
                      <w:color w:val="000000"/>
                    </w:rPr>
                    <w:t xml:space="preserve"> und Carbonsäuren kennen. Die Veresterung kann anhand dieses Versuches erarbeitet werden.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sollten das Prinzip von Le </w:t>
                  </w:r>
                  <w:proofErr w:type="spellStart"/>
                  <w:r>
                    <w:rPr>
                      <w:color w:val="000000"/>
                    </w:rPr>
                    <w:t>Chatelier</w:t>
                  </w:r>
                  <w:proofErr w:type="spellEnd"/>
                  <w:r>
                    <w:rPr>
                      <w:color w:val="000000"/>
                    </w:rPr>
                    <w:t xml:space="preserve"> kennen.</w:t>
                  </w:r>
                </w:p>
              </w:txbxContent>
            </v:textbox>
            <w10:wrap type="topAndBottom"/>
          </v:shape>
        </w:pict>
      </w:r>
      <w:bookmarkEnd w:id="1"/>
      <w:bookmarkEnd w:id="2"/>
      <w:r w:rsidR="00531FE9">
        <w:t>V</w:t>
      </w:r>
      <w:r>
        <w:t>6</w:t>
      </w:r>
      <w:r w:rsidR="001B1A06">
        <w:t xml:space="preserve">  – </w:t>
      </w:r>
      <w:bookmarkEnd w:id="0"/>
      <w:r>
        <w:t>Synthese von Fruchtestern</w:t>
      </w:r>
    </w:p>
    <w:p w:rsidR="0032406F" w:rsidRDefault="0032406F" w:rsidP="0032406F">
      <w:pPr>
        <w:pStyle w:val="Heading2"/>
        <w:numPr>
          <w:ilvl w:val="0"/>
          <w:numId w:val="0"/>
        </w:numPr>
        <w:ind w:left="576"/>
        <w:rPr>
          <w:color w:val="000000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Gefahrenstoffe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rPr>
                <w:rStyle w:val="Hyperlink"/>
                <w:color w:val="00000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rPr>
                <w:rStyle w:val="Hyperlink"/>
                <w:color w:val="000000"/>
              </w:rPr>
              <w:t>P: 210, 403+233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1- Butanol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rPr>
                <w:rStyle w:val="Hyperlink"/>
                <w:color w:val="000000"/>
              </w:rPr>
              <w:t>H: 226, 302, 315, 318, 335, 336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rPr>
                <w:rStyle w:val="Hyperlink"/>
                <w:color w:val="000000"/>
              </w:rPr>
              <w:t>P: 210, 261, 280.3, 301+312, 305+351+338, 310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Pentanol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H: 226, 332, 335, 315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P: 302+352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rPr>
                <w:rStyle w:val="Hyperlink"/>
                <w:color w:val="000000"/>
              </w:rPr>
              <w:t>H: 226, 314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P: 210, 260, 280.1+3, 303+361+353, 304+340, 305+351+338, 310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1-Octanol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t>H: 319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t>P: 305+P351+P338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Propansäure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t>H:226, 314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</w:pPr>
            <w:r>
              <w:t>P: b210, 241, 303+361+353, 305+351+338, 405, 501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Natriumsulfat (wasserfrei)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-Wasser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406F" w:rsidRDefault="0032406F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1" name="Grafik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2" name="Grafik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3" name="Grafik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4" name="Grafik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9120" cy="609120"/>
                  <wp:effectExtent l="19050" t="0" r="480" b="0"/>
                  <wp:docPr id="5" name="Grafik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560" cy="493560"/>
                  <wp:effectExtent l="19050" t="0" r="1740" b="0"/>
                  <wp:docPr id="29" name="Grafik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0" cy="4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2040" cy="482040"/>
                  <wp:effectExtent l="19050" t="0" r="0" b="0"/>
                  <wp:docPr id="51" name="Grafik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0" cy="4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62" name="Grafik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6F" w:rsidRDefault="0032406F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840" cy="582840"/>
                  <wp:effectExtent l="19050" t="0" r="7710" b="0"/>
                  <wp:docPr id="63" name="Grafik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40" cy="58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  <w:t>Reagenzgläser, Reagenzglasklammer, Bunsenbrenner, Becherglas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lastRenderedPageBreak/>
        <w:t>Chemikalien:</w:t>
      </w:r>
      <w:r>
        <w:rPr>
          <w:color w:val="000000"/>
        </w:rPr>
        <w:tab/>
      </w:r>
      <w:r>
        <w:rPr>
          <w:color w:val="000000"/>
        </w:rPr>
        <w:tab/>
        <w:t xml:space="preserve">Ethanol, Butanol, </w:t>
      </w:r>
      <w:proofErr w:type="spellStart"/>
      <w:r>
        <w:rPr>
          <w:color w:val="000000"/>
        </w:rPr>
        <w:t>Pentanol</w:t>
      </w:r>
      <w:proofErr w:type="spellEnd"/>
      <w:r>
        <w:rPr>
          <w:color w:val="000000"/>
        </w:rPr>
        <w:t>, Essigsäure, Ameisensäure, Natriumsulfat, Wa</w:t>
      </w:r>
      <w:r>
        <w:rPr>
          <w:color w:val="000000"/>
        </w:rPr>
        <w:t>s</w:t>
      </w:r>
      <w:r>
        <w:rPr>
          <w:color w:val="000000"/>
        </w:rPr>
        <w:t>ser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Durchführung: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eines Alkohols werden mit 3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einer Carbonsäure in ein Reagen</w:t>
      </w:r>
      <w:r>
        <w:rPr>
          <w:color w:val="000000"/>
        </w:rPr>
        <w:t>z</w:t>
      </w:r>
      <w:r>
        <w:rPr>
          <w:color w:val="000000"/>
        </w:rPr>
        <w:t xml:space="preserve">glas gemischt und mit einem Spatel Natriumsulfat versetzt. Das Gemisch wird in der </w:t>
      </w:r>
      <w:proofErr w:type="spellStart"/>
      <w:r>
        <w:rPr>
          <w:color w:val="000000"/>
        </w:rPr>
        <w:t>Bunsenbrennerflamme</w:t>
      </w:r>
      <w:proofErr w:type="spellEnd"/>
      <w:r>
        <w:rPr>
          <w:color w:val="000000"/>
        </w:rPr>
        <w:t xml:space="preserve"> erhitzt, ohne dass es kocht.</w:t>
      </w:r>
    </w:p>
    <w:p w:rsidR="0032406F" w:rsidRDefault="0032406F" w:rsidP="0032406F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Nach dem Abkühlen der Lösung wird sie in ein Becherglas überführt, das halb mit Wasser gefüllt ist. Eine Geruchsprobe wird genommen und die Lösung im Becherglas beobachtet.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Auf der Wasseroberfläche bildet sich eine ölige Phase. Je nach eingesetzten Alkoholen und Carbonsäuren ist ein charakteristischer Geruch wahrneh</w:t>
      </w:r>
      <w:r>
        <w:rPr>
          <w:color w:val="000000"/>
        </w:rPr>
        <w:t>m</w:t>
      </w:r>
      <w:r>
        <w:rPr>
          <w:color w:val="000000"/>
        </w:rPr>
        <w:t>bar. Es ergeben sich folgende Gerüche: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Carbonsäure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Alkohol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Geruch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Ester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Essigsäure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1-Octanol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Spülmittel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proofErr w:type="spellStart"/>
            <w:r>
              <w:t>Essigäsureoctylester</w:t>
            </w:r>
            <w:proofErr w:type="spellEnd"/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Essigsäure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1-Butanol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Apfel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Essigsäurebutylester</w:t>
            </w:r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Essigsäure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proofErr w:type="spellStart"/>
            <w:r>
              <w:t>Pentanol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Birne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proofErr w:type="spellStart"/>
            <w:r>
              <w:t>Essigsäurepentylester</w:t>
            </w:r>
            <w:proofErr w:type="spellEnd"/>
          </w:p>
        </w:tc>
      </w:tr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Propansäure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Ethanol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r>
              <w:t>„Gletscher-Eis-Bonbon“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</w:pPr>
            <w:proofErr w:type="spellStart"/>
            <w:r>
              <w:t>Propansäureethylester</w:t>
            </w:r>
            <w:proofErr w:type="spellEnd"/>
          </w:p>
        </w:tc>
      </w:tr>
    </w:tbl>
    <w:p w:rsidR="0032406F" w:rsidRPr="00156B93" w:rsidRDefault="0032406F" w:rsidP="0032406F">
      <w:pPr>
        <w:spacing w:after="0"/>
        <w:rPr>
          <w:vanish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4984200" cy="2964959"/>
                  <wp:effectExtent l="19050" t="0" r="6900" b="0"/>
                  <wp:wrapSquare wrapText="bothSides"/>
                  <wp:docPr id="74" name="Grafik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200" cy="296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406F" w:rsidRDefault="0032406F" w:rsidP="0032406F">
      <w:pPr>
        <w:rPr>
          <w:color w:val="000000"/>
        </w:rPr>
      </w:pPr>
      <w:r>
        <w:rPr>
          <w:color w:val="000000"/>
        </w:rPr>
        <w:t>Abb. 14 –  Skizze der Versuchsdurchführung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Bei dem Versuch entstehen aus Carbonsäuren und Alkoholen nach folge</w:t>
      </w:r>
      <w:r>
        <w:rPr>
          <w:color w:val="000000"/>
        </w:rPr>
        <w:t>n</w:t>
      </w:r>
      <w:r>
        <w:rPr>
          <w:color w:val="000000"/>
        </w:rPr>
        <w:t>dem Mechanismus Ester: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32406F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06F" w:rsidRDefault="0032406F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5557520" cy="3040380"/>
                  <wp:effectExtent l="19050" t="0" r="5080" b="0"/>
                  <wp:docPr id="75" name="Bild 19" descr="\\ug-uyst-ba-cifs.student.uni-goettingen.de\home\users\lukas.riehl\Desktop\SVP\1112 Ester und Ether\Bilder\bit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ug-uyst-ba-cifs.student.uni-goettingen.de\home\users\lukas.riehl\Desktop\SVP\1112 Ester und Ether\Bilder\bit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304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Abb. 15 – Mechanismus der Veresterung</w:t>
      </w:r>
    </w:p>
    <w:p w:rsidR="0032406F" w:rsidRDefault="0032406F" w:rsidP="0032406F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>Ester sind hydrophob und bilden daher zusammen mit Wasser zwei Ph</w:t>
      </w:r>
      <w:r>
        <w:rPr>
          <w:color w:val="000000"/>
        </w:rPr>
        <w:t>a</w:t>
      </w:r>
      <w:r>
        <w:rPr>
          <w:color w:val="000000"/>
        </w:rPr>
        <w:t xml:space="preserve">sen. Das Natriumsulfat wird hinzugesetzt, um Wasser zu binden, das bei der Reaktion entsteht. Dadurch wird diese Gleichgewichtsreaktion nach dem Prinzip von Le </w:t>
      </w:r>
      <w:proofErr w:type="spellStart"/>
      <w:r>
        <w:rPr>
          <w:color w:val="000000"/>
        </w:rPr>
        <w:t>Chatelier</w:t>
      </w:r>
      <w:proofErr w:type="spellEnd"/>
      <w:r>
        <w:rPr>
          <w:color w:val="000000"/>
        </w:rPr>
        <w:t xml:space="preserve"> weiter auf Seiten der Produkte verschoben</w:t>
      </w:r>
    </w:p>
    <w:p w:rsidR="0032406F" w:rsidRDefault="0032406F" w:rsidP="0032406F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lastRenderedPageBreak/>
        <w:t>Entsorgung:</w:t>
      </w:r>
      <w:r>
        <w:rPr>
          <w:color w:val="000000"/>
        </w:rPr>
        <w:tab/>
      </w:r>
      <w:r>
        <w:rPr>
          <w:color w:val="000000"/>
        </w:rPr>
        <w:tab/>
        <w:t>Alle Lösungen werden neutralisiert und im Abfall für organische Abfälle entsorgt.</w:t>
      </w:r>
    </w:p>
    <w:p w:rsidR="0032406F" w:rsidRDefault="0032406F" w:rsidP="0032406F">
      <w:pPr>
        <w:ind w:left="1985" w:hanging="1985"/>
        <w:rPr>
          <w:color w:val="000000"/>
        </w:rPr>
      </w:pPr>
      <w:r>
        <w:rPr>
          <w:color w:val="000000"/>
        </w:rPr>
        <w:t>Literatur:</w:t>
      </w:r>
      <w:r>
        <w:rPr>
          <w:color w:val="000000"/>
        </w:rPr>
        <w:tab/>
        <w:t xml:space="preserve">[1] K. Häußler, H. </w:t>
      </w:r>
      <w:proofErr w:type="spellStart"/>
      <w:r>
        <w:rPr>
          <w:color w:val="000000"/>
        </w:rPr>
        <w:t>Rampf</w:t>
      </w:r>
      <w:proofErr w:type="spellEnd"/>
      <w:r>
        <w:rPr>
          <w:color w:val="000000"/>
        </w:rPr>
        <w:t>, R. Reichelt, Experimente für den Chemieunte</w:t>
      </w:r>
      <w:r>
        <w:rPr>
          <w:color w:val="000000"/>
        </w:rPr>
        <w:t>r</w:t>
      </w:r>
      <w:r>
        <w:rPr>
          <w:color w:val="000000"/>
        </w:rPr>
        <w:t xml:space="preserve">richt – mit einer Einführung in die Labortechnik, </w:t>
      </w:r>
      <w:proofErr w:type="spellStart"/>
      <w:r>
        <w:rPr>
          <w:color w:val="000000"/>
        </w:rPr>
        <w:t>Oldenbourg</w:t>
      </w:r>
      <w:proofErr w:type="spellEnd"/>
      <w:r>
        <w:rPr>
          <w:color w:val="000000"/>
        </w:rPr>
        <w:t xml:space="preserve">, 2. Auflage,  1995, S. 127f. </w:t>
      </w:r>
    </w:p>
    <w:p w:rsidR="0032406F" w:rsidRPr="0032406F" w:rsidRDefault="0032406F" w:rsidP="0032406F">
      <w:pPr>
        <w:ind w:left="1985" w:hanging="1985"/>
      </w:pPr>
      <w:r w:rsidRPr="00156B93">
        <w:rPr>
          <w:color w:val="000000"/>
          <w:lang w:eastAsia="de-DE"/>
        </w:rPr>
      </w:r>
      <w:r w:rsidRPr="00156B93">
        <w:rPr>
          <w:color w:val="000000"/>
          <w:lang w:eastAsia="de-DE"/>
        </w:rPr>
        <w:pict>
          <v:shape id="Rahmen9" o:spid="_x0000_s1029" type="#_x0000_t202" style="width:462.45pt;height:2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rotate-with-shape:t">
              <w:txbxContent>
                <w:p w:rsidR="0032406F" w:rsidRDefault="0032406F" w:rsidP="0032406F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32406F" w:rsidRDefault="0032406F" w:rsidP="0032406F">
                  <w:r>
                    <w:rPr>
                      <w:color w:val="000000"/>
                    </w:rPr>
                    <w:t>Der Versuch ist geeignet, um die Veresterung zu erarbeiten. Durch den charakteristischen G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 xml:space="preserve">ruch der Fruchtester werden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motiviert herauszufinden, welche Reaktion der Edukte zugrunde liegt. </w:t>
                  </w:r>
                  <w:proofErr w:type="spellStart"/>
                  <w:r>
                    <w:rPr>
                      <w:color w:val="000000"/>
                    </w:rPr>
                    <w:t>Gleichzeigtig</w:t>
                  </w:r>
                  <w:proofErr w:type="spellEnd"/>
                  <w:r>
                    <w:rPr>
                      <w:color w:val="000000"/>
                    </w:rPr>
                    <w:t xml:space="preserve"> zeigt der Versuch eine Stoffeigenschaft von Estern: ihren hydr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</w:rPr>
                    <w:t>phoben Charakter.</w:t>
                  </w:r>
                </w:p>
                <w:p w:rsidR="0032406F" w:rsidRDefault="0032406F" w:rsidP="0032406F">
                  <w:r>
                    <w:rPr>
                      <w:color w:val="000000"/>
                    </w:rPr>
                    <w:t>Der Versuch funktioniert auch mit anderen Carbonsäuren und Alkoholen. Zudem kann der Ve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 xml:space="preserve">such auch ohne Natriumsulfat durchgeführt werden. Der charakteristische Geruch ist ohne Natriumsulfat aber weniger deutlich. Falls das Prinzip von Le </w:t>
                  </w:r>
                  <w:proofErr w:type="spellStart"/>
                  <w:r>
                    <w:rPr>
                      <w:color w:val="000000"/>
                    </w:rPr>
                    <w:t>Chatelier</w:t>
                  </w:r>
                  <w:proofErr w:type="spellEnd"/>
                  <w:r>
                    <w:rPr>
                      <w:color w:val="000000"/>
                    </w:rPr>
                    <w:t xml:space="preserve"> den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nicht bekannt ist, bietet es sich an, auf den Zusatz von Natriumsulfat zu verzichten.</w:t>
                  </w:r>
                </w:p>
              </w:txbxContent>
            </v:textbox>
            <w10:wrap type="none"/>
            <w10:anchorlock/>
          </v:shape>
        </w:pict>
      </w:r>
      <w:r>
        <w:rPr>
          <w:color w:val="000000"/>
        </w:rPr>
        <w:br/>
      </w:r>
    </w:p>
    <w:sectPr w:rsidR="0032406F" w:rsidRPr="0032406F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447526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32406F" w:rsidRPr="0032406F">
              <w:rPr>
                <w:b/>
                <w:bCs/>
                <w:noProof/>
                <w:sz w:val="20"/>
                <w:szCs w:val="20"/>
              </w:rPr>
              <w:t>V6  –</w:t>
            </w:r>
            <w:r w:rsidR="0032406F">
              <w:rPr>
                <w:noProof/>
              </w:rPr>
              <w:t xml:space="preserve"> Synthese von Fruchtestern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447526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32406F">
            <w:rPr>
              <w:noProof/>
              <w:sz w:val="20"/>
              <w:szCs w:val="20"/>
            </w:rPr>
            <w:t>4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5A01F8"/>
    <w:multiLevelType w:val="multilevel"/>
    <w:tmpl w:val="599ACC7C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06F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26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1FE9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231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customStyle="1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32406F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32406F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32406F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32406F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32406F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32406F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32406F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32406F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32406F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32406F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32406F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B29E-43D3-4DE8-84D7-7D57FD78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4</cp:revision>
  <cp:lastPrinted>2012-06-21T19:47:00Z</cp:lastPrinted>
  <dcterms:created xsi:type="dcterms:W3CDTF">2013-07-10T10:55:00Z</dcterms:created>
  <dcterms:modified xsi:type="dcterms:W3CDTF">2013-08-14T19:45:00Z</dcterms:modified>
</cp:coreProperties>
</file>