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A9" w:rsidRPr="009F02A9" w:rsidRDefault="009F02A9" w:rsidP="009F02A9">
      <w:pPr>
        <w:pStyle w:val="berschrift1"/>
        <w:numPr>
          <w:ilvl w:val="0"/>
          <w:numId w:val="0"/>
        </w:numPr>
        <w:ind w:left="432" w:hanging="432"/>
        <w:jc w:val="center"/>
        <w:rPr>
          <w:sz w:val="40"/>
          <w:szCs w:val="40"/>
          <w:u w:val="single"/>
        </w:rPr>
      </w:pPr>
      <w:r w:rsidRPr="009F02A9">
        <w:rPr>
          <w:noProof/>
          <w:sz w:val="40"/>
          <w:szCs w:val="4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.35pt;margin-top:66.35pt;width:462.45pt;height:61.9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2051">
              <w:txbxContent>
                <w:p w:rsidR="009F02A9" w:rsidRPr="00B72E0A" w:rsidRDefault="009F02A9" w:rsidP="009F02A9">
                  <w:pPr>
                    <w:rPr>
                      <w:color w:val="auto"/>
                    </w:rPr>
                  </w:pPr>
                  <w:r w:rsidRPr="00B72E0A">
                    <w:rPr>
                      <w:color w:val="auto"/>
                    </w:rPr>
                    <w:t xml:space="preserve">In diesem Versuch sollen die </w:t>
                  </w:r>
                  <w:proofErr w:type="spellStart"/>
                  <w:r w:rsidRPr="00B72E0A">
                    <w:rPr>
                      <w:color w:val="auto"/>
                    </w:rPr>
                    <w:t>SuS</w:t>
                  </w:r>
                  <w:proofErr w:type="spellEnd"/>
                  <w:r w:rsidRPr="00B72E0A">
                    <w:rPr>
                      <w:color w:val="auto"/>
                    </w:rPr>
                    <w:t xml:space="preserve"> die typische Reaktion von Aromaten, </w:t>
                  </w:r>
                  <w:r>
                    <w:rPr>
                      <w:color w:val="auto"/>
                    </w:rPr>
                    <w:t xml:space="preserve">nämlich </w:t>
                  </w:r>
                  <w:r w:rsidRPr="00B72E0A">
                    <w:rPr>
                      <w:color w:val="auto"/>
                    </w:rPr>
                    <w:t xml:space="preserve">die </w:t>
                  </w:r>
                  <w:proofErr w:type="spellStart"/>
                  <w:r w:rsidRPr="00B72E0A">
                    <w:rPr>
                      <w:color w:val="auto"/>
                    </w:rPr>
                    <w:t>elektrophile</w:t>
                  </w:r>
                  <w:proofErr w:type="spellEnd"/>
                  <w:r w:rsidRPr="00B72E0A">
                    <w:rPr>
                      <w:color w:val="auto"/>
                    </w:rPr>
                    <w:t xml:space="preserve"> Substitution am Ring am Beispiel der Sulfonierung kennenlernen. Grundkenntnisse über d</w:t>
                  </w:r>
                  <w:r>
                    <w:rPr>
                      <w:color w:val="auto"/>
                    </w:rPr>
                    <w:t>ie</w:t>
                  </w:r>
                  <w:r w:rsidRPr="00B72E0A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>molekulare Struktur</w:t>
                  </w:r>
                  <w:r w:rsidRPr="00B72E0A">
                    <w:rPr>
                      <w:color w:val="auto"/>
                    </w:rPr>
                    <w:t xml:space="preserve"> von Aromaten sind hierfür vonnöten.</w:t>
                  </w:r>
                </w:p>
              </w:txbxContent>
            </v:textbox>
            <w10:wrap type="square"/>
          </v:shape>
        </w:pict>
      </w:r>
      <w:bookmarkStart w:id="0" w:name="_Toc364098571"/>
      <w:r w:rsidRPr="009F02A9">
        <w:rPr>
          <w:sz w:val="40"/>
          <w:szCs w:val="40"/>
          <w:u w:val="single"/>
        </w:rPr>
        <w:t>V 5 – Sulfonierung von Naphthalin</w:t>
      </w:r>
      <w:bookmarkEnd w:id="0"/>
    </w:p>
    <w:p w:rsidR="009F02A9" w:rsidRDefault="009F02A9" w:rsidP="009F02A9">
      <w:pPr>
        <w:spacing w:after="0"/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F02A9" w:rsidRPr="009C5E28" w:rsidTr="00B02417">
        <w:tc>
          <w:tcPr>
            <w:tcW w:w="9322" w:type="dxa"/>
            <w:gridSpan w:val="9"/>
            <w:shd w:val="clear" w:color="auto" w:fill="4F81BD"/>
            <w:vAlign w:val="center"/>
          </w:tcPr>
          <w:p w:rsidR="009F02A9" w:rsidRPr="009C5E28" w:rsidRDefault="009F02A9" w:rsidP="00B0241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9F02A9" w:rsidRPr="009C5E28" w:rsidTr="00B0241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F02A9" w:rsidRDefault="009F02A9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Naphthalin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F02A9" w:rsidRPr="009C5E28" w:rsidRDefault="009F02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351-302-410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F02A9" w:rsidRPr="009C5E28" w:rsidRDefault="009F02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273- 281-308+313</w:t>
            </w:r>
          </w:p>
        </w:tc>
      </w:tr>
      <w:tr w:rsidR="009F02A9" w:rsidRPr="009C5E28" w:rsidTr="00B0241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F02A9" w:rsidRDefault="009F02A9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Schwefelsäure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F02A9" w:rsidRPr="009C5E28" w:rsidRDefault="009F02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314-290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F02A9" w:rsidRPr="009C5E28" w:rsidRDefault="009F02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280-301+330+331-305+351+338-309+310</w:t>
            </w:r>
          </w:p>
        </w:tc>
      </w:tr>
      <w:tr w:rsidR="009F02A9" w:rsidRPr="009C5E28" w:rsidTr="00B0241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6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F02A9" w:rsidRPr="009C5E28" w:rsidRDefault="009F02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2A9" w:rsidRDefault="009F02A9" w:rsidP="009F02A9">
      <w:pPr>
        <w:tabs>
          <w:tab w:val="left" w:pos="1701"/>
          <w:tab w:val="left" w:pos="1985"/>
        </w:tabs>
        <w:ind w:left="1980" w:hanging="1980"/>
      </w:pPr>
    </w:p>
    <w:p w:rsidR="009F02A9" w:rsidRDefault="009F02A9" w:rsidP="009F02A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Mörser und Pistill, Reagenzglas, Bunsenbrenner, Becherglas</w:t>
      </w:r>
    </w:p>
    <w:p w:rsidR="009F02A9" w:rsidRPr="00ED07C2" w:rsidRDefault="009F02A9" w:rsidP="009F02A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Naphthalin, </w:t>
      </w:r>
      <w:proofErr w:type="spellStart"/>
      <w:r>
        <w:t>konz</w:t>
      </w:r>
      <w:proofErr w:type="spellEnd"/>
      <w:r>
        <w:t>. Schwefelsäure, demineralisiertes Wasser</w:t>
      </w:r>
    </w:p>
    <w:p w:rsidR="009F02A9" w:rsidRDefault="009F02A9" w:rsidP="009F02A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Etwa 1 g Naphthalin wird in einem Mörser zerrrieben und eine </w:t>
      </w:r>
      <w:proofErr w:type="spellStart"/>
      <w:r>
        <w:t>Spatelspitze</w:t>
      </w:r>
      <w:proofErr w:type="spellEnd"/>
      <w:r>
        <w:t xml:space="preserve"> davon in eine Reagenzglas gegeben. Dazu werden etwa 5 mL konzentrierte Schwefelsäure gegeben und erhitzt. Der Inhalt des Reagenzglases wird a</w:t>
      </w:r>
      <w:r>
        <w:t>n</w:t>
      </w:r>
      <w:r>
        <w:t xml:space="preserve">schließend in ein Becherglas mit 50 mL </w:t>
      </w:r>
      <w:proofErr w:type="spellStart"/>
      <w:r>
        <w:t>demineralisertem</w:t>
      </w:r>
      <w:proofErr w:type="spellEnd"/>
      <w:r>
        <w:t xml:space="preserve"> Wasser gegeben.</w:t>
      </w:r>
    </w:p>
    <w:p w:rsidR="009F02A9" w:rsidRDefault="009F02A9" w:rsidP="009F02A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Die Lösung färbt sich beim Erhitzen rot-braun und löst sich gut im Wasser im Gegensatz zum Naphthalin.  </w:t>
      </w:r>
    </w:p>
    <w:p w:rsidR="009F02A9" w:rsidRDefault="009F02A9" w:rsidP="009F02A9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106008" cy="2078966"/>
            <wp:effectExtent l="19050" t="0" r="8542" b="0"/>
            <wp:docPr id="40" name="Grafik 2" descr="DSC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56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008" cy="207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2A9" w:rsidRDefault="009F02A9" w:rsidP="009F02A9">
      <w:pPr>
        <w:pStyle w:val="Beschriftung"/>
        <w:ind w:left="1272" w:firstLine="708"/>
        <w:jc w:val="left"/>
      </w:pPr>
      <w:r>
        <w:t xml:space="preserve">Abb. 6 - </w:t>
      </w:r>
      <w:r>
        <w:rPr>
          <w:noProof/>
        </w:rPr>
        <w:t xml:space="preserve"> Napthalin und konzentierte Schwefelsäure nach dem Erhitzen </w:t>
      </w:r>
    </w:p>
    <w:p w:rsidR="009F02A9" w:rsidRDefault="009F02A9" w:rsidP="009F02A9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</w:r>
      <w:r>
        <w:tab/>
        <w:t xml:space="preserve">Das Naphthalin hat mit der Schwefelsäure reagiert. Dabei fand eine </w:t>
      </w:r>
      <w:proofErr w:type="spellStart"/>
      <w:r>
        <w:t>elektrophile</w:t>
      </w:r>
      <w:proofErr w:type="spellEnd"/>
      <w:r>
        <w:t xml:space="preserve"> Substitution mit einer Sulfit-Gruppe statt. Diesen Prozess nennt man Sulfonierung. Das Sulfit entsteht aus der Autoprotolyse der Schwefelsäure.</w:t>
      </w:r>
    </w:p>
    <w:p w:rsidR="009F02A9" w:rsidRPr="00CB60B8" w:rsidRDefault="009F02A9" w:rsidP="009F02A9">
      <w:pPr>
        <w:tabs>
          <w:tab w:val="left" w:pos="1701"/>
          <w:tab w:val="left" w:pos="1985"/>
        </w:tabs>
        <w:ind w:left="1980" w:hanging="1980"/>
        <w:jc w:val="center"/>
        <w:rPr>
          <w:color w:val="FF0000"/>
        </w:rPr>
      </w:pPr>
      <w:r>
        <w:rPr>
          <w:noProof/>
          <w:color w:val="FF0000"/>
          <w:lang w:eastAsia="de-DE"/>
        </w:rPr>
        <w:drawing>
          <wp:inline distT="0" distB="0" distL="0" distR="0">
            <wp:extent cx="4048125" cy="1257300"/>
            <wp:effectExtent l="19050" t="0" r="9525" b="0"/>
            <wp:docPr id="96" name="Grafik 95" descr="sulfonieru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fonierung.bmp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2A9" w:rsidRDefault="009F02A9" w:rsidP="009F02A9">
      <w:pPr>
        <w:spacing w:line="276" w:lineRule="auto"/>
        <w:ind w:left="1979" w:hanging="1979"/>
      </w:pPr>
      <w:r>
        <w:t>Entsorgung:</w:t>
      </w:r>
      <w:r>
        <w:tab/>
        <w:t>Die Lösung kann in den Abfallbehälter für organische Lösungsmittelabfälle gegeben werden.</w:t>
      </w:r>
    </w:p>
    <w:p w:rsidR="009F02A9" w:rsidRDefault="009F02A9" w:rsidP="009F02A9">
      <w:pPr>
        <w:spacing w:line="276" w:lineRule="auto"/>
        <w:ind w:left="1979" w:hanging="1979"/>
      </w:pPr>
      <w:r>
        <w:t xml:space="preserve">Literatur: </w:t>
      </w:r>
      <w:r>
        <w:tab/>
      </w:r>
      <w:r w:rsidRPr="00B55008">
        <w:rPr>
          <w:color w:val="auto"/>
        </w:rPr>
        <w:t xml:space="preserve">Jäckel, M. (u.a.) (Hrsg.), Chemie heute - Sekundarstufe II, </w:t>
      </w:r>
      <w:proofErr w:type="spellStart"/>
      <w:r w:rsidRPr="00B55008">
        <w:rPr>
          <w:color w:val="auto"/>
        </w:rPr>
        <w:t>Schroedel</w:t>
      </w:r>
      <w:proofErr w:type="spellEnd"/>
      <w:r w:rsidRPr="00B55008">
        <w:rPr>
          <w:color w:val="auto"/>
        </w:rPr>
        <w:t>-Verlag, S.351</w:t>
      </w:r>
    </w:p>
    <w:p w:rsidR="009F02A9" w:rsidRPr="006E32AF" w:rsidRDefault="009F02A9" w:rsidP="009F02A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F14F01">
        <w:pict>
          <v:shape id="_x0000_s2050" type="#_x0000_t202" style="width:462.45pt;height:64.8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2050">
              <w:txbxContent>
                <w:p w:rsidR="009F02A9" w:rsidRPr="00F42DB3" w:rsidRDefault="009F02A9" w:rsidP="009F02A9">
                  <w:r>
                    <w:t xml:space="preserve">Naphthalin und Schwefelsäure sind beides bedenkliche Stoffe für </w:t>
                  </w:r>
                  <w:proofErr w:type="spellStart"/>
                  <w:r>
                    <w:t>SuS</w:t>
                  </w:r>
                  <w:proofErr w:type="spellEnd"/>
                  <w:r>
                    <w:t>, der Einsatz jedoch e</w:t>
                  </w:r>
                  <w:r>
                    <w:t>r</w:t>
                  </w:r>
                  <w:r>
                    <w:t xml:space="preserve">laubt. Daher sollte der Versuch nur von experimentiersicheren Klassen durchgeführt werden. Dieser Versuch muss zudem unter dem Abzug durchgeführt werden. </w:t>
                  </w:r>
                </w:p>
              </w:txbxContent>
            </v:textbox>
            <w10:wrap type="none"/>
            <w10:anchorlock/>
          </v:shape>
        </w:pict>
      </w:r>
    </w:p>
    <w:p w:rsidR="004465A0" w:rsidRDefault="004465A0"/>
    <w:sectPr w:rsidR="004465A0" w:rsidSect="004465A0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30" w:rsidRDefault="003F0C30" w:rsidP="009F02A9">
      <w:pPr>
        <w:spacing w:after="0" w:line="240" w:lineRule="auto"/>
      </w:pPr>
      <w:r>
        <w:separator/>
      </w:r>
    </w:p>
  </w:endnote>
  <w:endnote w:type="continuationSeparator" w:id="0">
    <w:p w:rsidR="003F0C30" w:rsidRDefault="003F0C30" w:rsidP="009F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30" w:rsidRDefault="003F0C30" w:rsidP="009F02A9">
      <w:pPr>
        <w:spacing w:after="0" w:line="240" w:lineRule="auto"/>
      </w:pPr>
      <w:r>
        <w:separator/>
      </w:r>
    </w:p>
  </w:footnote>
  <w:footnote w:type="continuationSeparator" w:id="0">
    <w:p w:rsidR="003F0C30" w:rsidRDefault="003F0C30" w:rsidP="009F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9F02A9" w:rsidRPr="0080101C" w:rsidRDefault="009F02A9" w:rsidP="009F02A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Pr="009F02A9">
            <w:rPr>
              <w:b/>
              <w:bCs/>
              <w:noProof/>
            </w:rPr>
            <w:t>V 5 – Sulfonierung von Naphthalin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9F02A9" w:rsidRPr="00337B69" w:rsidRDefault="009F02A9" w:rsidP="009F02A9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35pt;margin-top:3.05pt;width:462pt;height:.05pt;flip:x;z-index:251658240" o:connectortype="straight"/>
      </w:pict>
    </w:r>
  </w:p>
  <w:p w:rsidR="009F02A9" w:rsidRDefault="009F02A9" w:rsidP="009F02A9">
    <w:pPr>
      <w:pStyle w:val="Kopfzeile"/>
    </w:pPr>
  </w:p>
  <w:p w:rsidR="009F02A9" w:rsidRDefault="009F02A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02A9"/>
    <w:rsid w:val="00106292"/>
    <w:rsid w:val="00293ED5"/>
    <w:rsid w:val="003F0C30"/>
    <w:rsid w:val="004465A0"/>
    <w:rsid w:val="009F02A9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2A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02A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02A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02A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02A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02A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02A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02A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02A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02A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F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F02A9"/>
  </w:style>
  <w:style w:type="paragraph" w:styleId="Fuzeile">
    <w:name w:val="footer"/>
    <w:basedOn w:val="Standard"/>
    <w:link w:val="FuzeileZchn"/>
    <w:uiPriority w:val="99"/>
    <w:semiHidden/>
    <w:unhideWhenUsed/>
    <w:rsid w:val="009F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F02A9"/>
  </w:style>
  <w:style w:type="character" w:customStyle="1" w:styleId="berschrift1Zchn">
    <w:name w:val="Überschrift 1 Zchn"/>
    <w:basedOn w:val="Absatz-Standardschriftart"/>
    <w:link w:val="berschrift1"/>
    <w:uiPriority w:val="9"/>
    <w:rsid w:val="009F02A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02A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02A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0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02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02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02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02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02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F02A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2A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55372-258D-489C-B5DA-A0248F2C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1</cp:revision>
  <dcterms:created xsi:type="dcterms:W3CDTF">2013-08-14T16:27:00Z</dcterms:created>
  <dcterms:modified xsi:type="dcterms:W3CDTF">2013-08-14T16:30:00Z</dcterms:modified>
</cp:coreProperties>
</file>