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0D" w:rsidRPr="0053450D" w:rsidRDefault="0053450D" w:rsidP="0053450D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 w:rsidRPr="0053450D"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05pt;margin-top:71.8pt;width:462.45pt;height:60.6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2051">
              <w:txbxContent>
                <w:p w:rsidR="0053450D" w:rsidRPr="006D4A4F" w:rsidRDefault="0053450D" w:rsidP="0053450D">
                  <w:pPr>
                    <w:rPr>
                      <w:color w:val="auto"/>
                    </w:rPr>
                  </w:pPr>
                  <w:r w:rsidRPr="006D4A4F">
                    <w:rPr>
                      <w:color w:val="auto"/>
                    </w:rPr>
                    <w:t xml:space="preserve">In diesem Versuch sollen die </w:t>
                  </w:r>
                  <w:proofErr w:type="spellStart"/>
                  <w:r w:rsidRPr="006D4A4F">
                    <w:rPr>
                      <w:color w:val="auto"/>
                    </w:rPr>
                    <w:t>SuS</w:t>
                  </w:r>
                  <w:proofErr w:type="spellEnd"/>
                  <w:r w:rsidRPr="006D4A4F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eine weitere Anwendung der Aromaten kennenlernen. Dieser Versuch ist schnell durchführbar und klappt sehr gut.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bereits Vorwissen über Polymere mitbringen.</w:t>
                  </w:r>
                </w:p>
              </w:txbxContent>
            </v:textbox>
            <w10:wrap type="square"/>
          </v:shape>
        </w:pict>
      </w:r>
      <w:bookmarkStart w:id="0" w:name="_Toc364098573"/>
      <w:r w:rsidRPr="0053450D">
        <w:rPr>
          <w:sz w:val="40"/>
          <w:szCs w:val="40"/>
          <w:u w:val="single"/>
        </w:rPr>
        <w:t xml:space="preserve">V </w:t>
      </w:r>
      <w:r w:rsidR="003E775D">
        <w:rPr>
          <w:sz w:val="40"/>
          <w:szCs w:val="40"/>
          <w:u w:val="single"/>
        </w:rPr>
        <w:t>7</w:t>
      </w:r>
      <w:r w:rsidRPr="0053450D">
        <w:rPr>
          <w:sz w:val="40"/>
          <w:szCs w:val="40"/>
          <w:u w:val="single"/>
        </w:rPr>
        <w:t xml:space="preserve"> – Herstellung eines Phenoplasten</w:t>
      </w:r>
      <w:bookmarkEnd w:id="0"/>
    </w:p>
    <w:p w:rsidR="0053450D" w:rsidRDefault="0053450D" w:rsidP="0053450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3450D" w:rsidRPr="009C5E28" w:rsidTr="00B02417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53450D" w:rsidRPr="009C5E28" w:rsidRDefault="0053450D" w:rsidP="00B0241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3450D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Resorcin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H:302-319-315-400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61AA3" w:rsidRDefault="0053450D" w:rsidP="00B0241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961AA3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273-302+352-305+351+338</w:t>
            </w:r>
          </w:p>
        </w:tc>
      </w:tr>
      <w:tr w:rsidR="0053450D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Formaldehyd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330-301-311-314-351-317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301+310-303+361+353-305+351+338-320-361-405-501</w:t>
            </w:r>
          </w:p>
        </w:tc>
      </w:tr>
      <w:tr w:rsidR="0053450D" w:rsidRPr="009C5E28" w:rsidTr="00B02417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Default="0053450D" w:rsidP="00B0241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280-301+330+331-305+351+338</w:t>
            </w:r>
          </w:p>
        </w:tc>
      </w:tr>
      <w:tr w:rsidR="0053450D" w:rsidRPr="009C5E28" w:rsidTr="00B0241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8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3450D" w:rsidRPr="009C5E28" w:rsidRDefault="0053450D" w:rsidP="00B0241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50D" w:rsidRDefault="0053450D" w:rsidP="0053450D">
      <w:pPr>
        <w:tabs>
          <w:tab w:val="left" w:pos="1701"/>
          <w:tab w:val="left" w:pos="1985"/>
        </w:tabs>
        <w:ind w:left="1980" w:hanging="1980"/>
      </w:pPr>
    </w:p>
    <w:p w:rsidR="0053450D" w:rsidRDefault="0053450D" w:rsidP="0053450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Brenner, </w:t>
      </w:r>
      <w:proofErr w:type="spellStart"/>
      <w:r>
        <w:t>Holzstab</w:t>
      </w:r>
      <w:proofErr w:type="spellEnd"/>
      <w:r>
        <w:t xml:space="preserve"> </w:t>
      </w:r>
    </w:p>
    <w:p w:rsidR="0053450D" w:rsidRPr="00ED07C2" w:rsidRDefault="0053450D" w:rsidP="0053450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Resorcin</w:t>
      </w:r>
      <w:proofErr w:type="spellEnd"/>
      <w:r>
        <w:t>, demineralisiertes Wasser, Formaldehyd, Natronlauge (w = 30%)</w:t>
      </w:r>
    </w:p>
    <w:p w:rsidR="0053450D" w:rsidRDefault="0053450D" w:rsidP="0053450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ein Reagenzglas wird etwa 2 cm hoch </w:t>
      </w:r>
      <w:proofErr w:type="spellStart"/>
      <w:r>
        <w:t>Resorcin</w:t>
      </w:r>
      <w:proofErr w:type="spellEnd"/>
      <w:r>
        <w:t xml:space="preserve"> gegeben und so mit Wa</w:t>
      </w:r>
      <w:r>
        <w:t>s</w:t>
      </w:r>
      <w:r>
        <w:t xml:space="preserve">ser versetzt, dass das </w:t>
      </w:r>
      <w:proofErr w:type="spellStart"/>
      <w:r>
        <w:t>Resorcin</w:t>
      </w:r>
      <w:proofErr w:type="spellEnd"/>
      <w:r>
        <w:t xml:space="preserve"> gerade bedeckt ist. Nun werden etwa 4 mL Formaldehyd-Lösung hinzugegeben und über dem Brenner erhitzt, bis sich der Feststoff gelöst hat. In die Lösung wird nun ein </w:t>
      </w:r>
      <w:proofErr w:type="spellStart"/>
      <w:r>
        <w:t>Holzstab</w:t>
      </w:r>
      <w:proofErr w:type="spellEnd"/>
      <w:r>
        <w:t xml:space="preserve"> gesteckt und die Lösung mit einigen Tropfen Natronlauge versetzt. Diese wird bis zum Sieden erhitzt und dann zum Erstarren stehen gelassen.</w:t>
      </w:r>
    </w:p>
    <w:p w:rsidR="0053450D" w:rsidRDefault="0053450D" w:rsidP="0053450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 Zugabe von Natronlauge färbt sich die Lösung orange. Beim Erhitzen bilden sich Blasen und die Lösung erstarrt langsam zu einem roten Fes</w:t>
      </w:r>
      <w:r>
        <w:t>t</w:t>
      </w:r>
      <w:r>
        <w:t xml:space="preserve">stoff.  </w:t>
      </w:r>
    </w:p>
    <w:p w:rsidR="0053450D" w:rsidRDefault="0053450D" w:rsidP="0053450D">
      <w:pPr>
        <w:keepNext/>
        <w:tabs>
          <w:tab w:val="left" w:pos="1701"/>
          <w:tab w:val="left" w:pos="1985"/>
        </w:tabs>
        <w:ind w:left="850" w:hanging="1980"/>
        <w:jc w:val="left"/>
      </w:pPr>
      <w:r>
        <w:lastRenderedPageBreak/>
        <w:tab/>
      </w:r>
      <w:r>
        <w:rPr>
          <w:noProof/>
          <w:lang w:eastAsia="de-DE"/>
        </w:rPr>
        <w:drawing>
          <wp:inline distT="0" distB="0" distL="0" distR="0">
            <wp:extent cx="1430187" cy="1673525"/>
            <wp:effectExtent l="19050" t="0" r="0" b="0"/>
            <wp:docPr id="82" name="Grafik 70" descr="DSC0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1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187" cy="16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1552755" cy="1693106"/>
            <wp:effectExtent l="19050" t="0" r="9345" b="0"/>
            <wp:docPr id="83" name="Grafik 71" descr="DSC0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4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935" cy="169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0D" w:rsidRDefault="0053450D" w:rsidP="0053450D">
      <w:pPr>
        <w:pStyle w:val="Beschriftung"/>
        <w:ind w:left="142" w:firstLine="708"/>
        <w:jc w:val="left"/>
      </w:pPr>
      <w:r>
        <w:t xml:space="preserve">Abb. 9 - </w:t>
      </w:r>
      <w:r>
        <w:rPr>
          <w:noProof/>
        </w:rPr>
        <w:t xml:space="preserve"> Lösung nach Zugabe von Natronlauge</w:t>
      </w:r>
      <w:r>
        <w:rPr>
          <w:noProof/>
        </w:rPr>
        <w:tab/>
        <w:t xml:space="preserve">    Abb. 10 - Lösung kurz vor dem Erstarren.   </w:t>
      </w:r>
    </w:p>
    <w:p w:rsidR="0053450D" w:rsidRDefault="0053450D" w:rsidP="0053450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Das </w:t>
      </w:r>
      <w:proofErr w:type="spellStart"/>
      <w:r>
        <w:t>Resorcin</w:t>
      </w:r>
      <w:proofErr w:type="spellEnd"/>
      <w:r>
        <w:t xml:space="preserve"> reagiert zu einem Polymer, dem </w:t>
      </w:r>
      <w:proofErr w:type="spellStart"/>
      <w:r>
        <w:rPr>
          <w:color w:val="auto"/>
        </w:rPr>
        <w:t>Resol</w:t>
      </w:r>
      <w:proofErr w:type="spellEnd"/>
      <w:r>
        <w:t>. Dieser gehört zu der Stoffklasse der Phenoplasten.</w:t>
      </w:r>
    </w:p>
    <w:p w:rsidR="0053450D" w:rsidRDefault="0053450D" w:rsidP="0053450D">
      <w:pPr>
        <w:spacing w:line="276" w:lineRule="auto"/>
        <w:ind w:left="1979" w:hanging="1979"/>
        <w:jc w:val="center"/>
      </w:pPr>
      <w:r>
        <w:rPr>
          <w:noProof/>
          <w:lang w:eastAsia="de-DE"/>
        </w:rPr>
        <w:drawing>
          <wp:inline distT="0" distB="0" distL="0" distR="0">
            <wp:extent cx="5057775" cy="942975"/>
            <wp:effectExtent l="19050" t="0" r="9525" b="0"/>
            <wp:docPr id="98" name="Grafik 97" descr="Resorc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rcin.b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0D" w:rsidRDefault="0053450D" w:rsidP="0053450D">
      <w:pPr>
        <w:spacing w:line="276" w:lineRule="auto"/>
        <w:ind w:left="1979" w:hanging="1979"/>
      </w:pPr>
      <w:r>
        <w:t>Entsorgung:</w:t>
      </w:r>
      <w:r>
        <w:tab/>
        <w:t>Der entstandene Kunststoff kann in den Haushaltsmüll gegeben werden.</w:t>
      </w:r>
    </w:p>
    <w:p w:rsidR="0053450D" w:rsidRDefault="0053450D" w:rsidP="0053450D">
      <w:pPr>
        <w:spacing w:line="276" w:lineRule="auto"/>
        <w:ind w:left="1979" w:hanging="1979"/>
      </w:pPr>
      <w:r>
        <w:t xml:space="preserve"> Literatur: </w:t>
      </w:r>
      <w:r>
        <w:tab/>
      </w:r>
      <w:proofErr w:type="spellStart"/>
      <w:r>
        <w:t>Boszak</w:t>
      </w:r>
      <w:proofErr w:type="spellEnd"/>
      <w:r>
        <w:t xml:space="preserve">, R., </w:t>
      </w:r>
      <w:r w:rsidRPr="00DA1650">
        <w:t>http://robertbozsak.de/wp-content/uploads/2011/02/Synthese-von-Phenoplasten-27.01.2011.pdf</w:t>
      </w:r>
      <w:r>
        <w:t xml:space="preserve"> z</w:t>
      </w:r>
      <w:r>
        <w:t>u</w:t>
      </w:r>
      <w:r>
        <w:t>letzt abgerufen am 09.08.2013.</w:t>
      </w:r>
    </w:p>
    <w:p w:rsidR="0053450D" w:rsidRPr="006E32AF" w:rsidRDefault="0053450D" w:rsidP="0053450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14F01">
        <w:pict>
          <v:shape id="_x0000_s2050" type="#_x0000_t202" style="width:462.45pt;height:78.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2050">
              <w:txbxContent>
                <w:p w:rsidR="0053450D" w:rsidRPr="00F42DB3" w:rsidRDefault="0053450D" w:rsidP="0053450D">
                  <w:r>
                    <w:t xml:space="preserve">Formaldehyd ist giftig, die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sollten daher beim Umfüllen Handschuhe tragen. Anhand dieses Versuches können auch weitere Polymere mit </w:t>
                  </w:r>
                  <w:proofErr w:type="spellStart"/>
                  <w:r>
                    <w:t>Aromatring</w:t>
                  </w:r>
                  <w:proofErr w:type="spellEnd"/>
                  <w:r>
                    <w:t xml:space="preserve"> wie das Styropor behandelt werden. Weitere Anwendungsmöglichkeiten der Aromaten können zum Beispiel bei der Herstellung von Aspirin demonstriert werden.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AA" w:rsidRDefault="008506AA" w:rsidP="00E75125">
      <w:pPr>
        <w:spacing w:after="0" w:line="240" w:lineRule="auto"/>
      </w:pPr>
      <w:r>
        <w:separator/>
      </w:r>
    </w:p>
  </w:endnote>
  <w:endnote w:type="continuationSeparator" w:id="0">
    <w:p w:rsidR="008506AA" w:rsidRDefault="008506AA" w:rsidP="00E7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AA" w:rsidRDefault="008506AA" w:rsidP="00E75125">
      <w:pPr>
        <w:spacing w:after="0" w:line="240" w:lineRule="auto"/>
      </w:pPr>
      <w:r>
        <w:separator/>
      </w:r>
    </w:p>
  </w:footnote>
  <w:footnote w:type="continuationSeparator" w:id="0">
    <w:p w:rsidR="008506AA" w:rsidRDefault="008506AA" w:rsidP="00E7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E75125" w:rsidRPr="0080101C" w:rsidRDefault="00E75125" w:rsidP="0053450D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3E775D" w:rsidRPr="003E775D">
            <w:rPr>
              <w:b/>
              <w:bCs/>
              <w:noProof/>
            </w:rPr>
            <w:t>V 7 – Herstellung eines Phenoplasten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3E775D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E75125" w:rsidRPr="00337B69" w:rsidRDefault="00E75125" w:rsidP="00E75125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35pt;margin-top:3.05pt;width:462pt;height:.05pt;flip:x;z-index:251658240" o:connectortype="straight"/>
      </w:pict>
    </w:r>
  </w:p>
  <w:p w:rsidR="00E75125" w:rsidRDefault="00E75125" w:rsidP="00E75125">
    <w:pPr>
      <w:pStyle w:val="Kopfzeile"/>
    </w:pPr>
  </w:p>
  <w:p w:rsidR="00E75125" w:rsidRDefault="00E7512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5125"/>
    <w:rsid w:val="00106292"/>
    <w:rsid w:val="00293ED5"/>
    <w:rsid w:val="003E775D"/>
    <w:rsid w:val="004465A0"/>
    <w:rsid w:val="0053450D"/>
    <w:rsid w:val="008506AA"/>
    <w:rsid w:val="00E75125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50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50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450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450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450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45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45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45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45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45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125"/>
  </w:style>
  <w:style w:type="paragraph" w:styleId="Fuzeile">
    <w:name w:val="footer"/>
    <w:basedOn w:val="Standard"/>
    <w:link w:val="FuzeileZchn"/>
    <w:uiPriority w:val="99"/>
    <w:semiHidden/>
    <w:unhideWhenUsed/>
    <w:rsid w:val="00E7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5125"/>
  </w:style>
  <w:style w:type="character" w:customStyle="1" w:styleId="berschrift1Zchn">
    <w:name w:val="Überschrift 1 Zchn"/>
    <w:basedOn w:val="Absatz-Standardschriftart"/>
    <w:link w:val="berschrift1"/>
    <w:uiPriority w:val="9"/>
    <w:rsid w:val="0053450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450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450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4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4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5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3450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50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5BC0-2FBA-415C-BD68-3E7E3EF9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2013-08-14T16:27:00Z</dcterms:created>
  <dcterms:modified xsi:type="dcterms:W3CDTF">2013-08-14T17:13:00Z</dcterms:modified>
</cp:coreProperties>
</file>