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B" w:rsidRDefault="00D62BCB" w:rsidP="00D62BCB">
      <w:pPr>
        <w:pStyle w:val="berschrift2"/>
        <w:numPr>
          <w:ilvl w:val="0"/>
          <w:numId w:val="0"/>
        </w:numPr>
        <w:ind w:left="576"/>
      </w:pPr>
      <w:bookmarkStart w:id="0" w:name="_Toc363819580"/>
      <w:r>
        <w:t>V 2 – Die Briggs-Rauscher-Reaktion</w:t>
      </w:r>
      <w:bookmarkEnd w:id="0"/>
    </w:p>
    <w:p w:rsidR="00D62BCB" w:rsidRDefault="00D62BCB" w:rsidP="00D62BCB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62.45pt;height:62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34">
              <w:txbxContent>
                <w:p w:rsidR="00D62BCB" w:rsidRPr="0044440E" w:rsidRDefault="00D62BCB" w:rsidP="00D62BCB">
                  <w:pPr>
                    <w:rPr>
                      <w:color w:val="auto"/>
                    </w:rPr>
                  </w:pPr>
                  <w:r w:rsidRPr="0044440E">
                    <w:rPr>
                      <w:color w:val="auto"/>
                    </w:rPr>
                    <w:t>Die Briggs-Rauscher-Reaktion ist eine oszillierende Redoxreaktion. Die SuS sollten den Stärk</w:t>
                  </w:r>
                  <w:r w:rsidRPr="0044440E">
                    <w:rPr>
                      <w:color w:val="auto"/>
                    </w:rPr>
                    <w:t>e</w:t>
                  </w:r>
                  <w:r w:rsidRPr="0044440E">
                    <w:rPr>
                      <w:color w:val="auto"/>
                    </w:rPr>
                    <w:t xml:space="preserve">nachweis mit Iod kennen und weiterführende Kenntnisse zu Redoxreaktionen und </w:t>
                  </w:r>
                  <w:proofErr w:type="spellStart"/>
                  <w:r w:rsidRPr="0044440E">
                    <w:rPr>
                      <w:color w:val="auto"/>
                    </w:rPr>
                    <w:t>radikalische</w:t>
                  </w:r>
                  <w:proofErr w:type="spellEnd"/>
                  <w:r w:rsidRPr="0044440E">
                    <w:rPr>
                      <w:color w:val="auto"/>
                    </w:rPr>
                    <w:t xml:space="preserve"> Reaktionen </w:t>
                  </w:r>
                  <w:r>
                    <w:rPr>
                      <w:color w:val="auto"/>
                    </w:rPr>
                    <w:t>besitzen</w:t>
                  </w:r>
                  <w:r w:rsidRPr="0044440E">
                    <w:rPr>
                      <w:color w:val="auto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62BCB" w:rsidRPr="009C5E28" w:rsidTr="001C402B">
        <w:tc>
          <w:tcPr>
            <w:tcW w:w="9322" w:type="dxa"/>
            <w:gridSpan w:val="9"/>
            <w:shd w:val="clear" w:color="auto" w:fill="4F81BD"/>
            <w:vAlign w:val="center"/>
          </w:tcPr>
          <w:p w:rsidR="00D62BCB" w:rsidRPr="009C5E28" w:rsidRDefault="00D62BCB" w:rsidP="001C402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62BCB" w:rsidRPr="009C5E28" w:rsidTr="001C402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Kaliumiodat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272-318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305+351+338</w:t>
            </w:r>
          </w:p>
        </w:tc>
      </w:tr>
      <w:tr w:rsidR="00D62BCB" w:rsidRPr="009C5E28" w:rsidTr="001C402B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Perchlorsäure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271-314-290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210-280-301+330+331-305+351+338</w:t>
            </w:r>
          </w:p>
        </w:tc>
      </w:tr>
      <w:tr w:rsidR="00D62BCB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Default="00D62BCB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Mangansulfat-Monohydrat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373-411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273-314</w:t>
            </w:r>
          </w:p>
        </w:tc>
      </w:tr>
      <w:tr w:rsidR="00D62BCB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Default="00D62BCB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62BCB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Default="00D62BCB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Malonsäure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BCB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260-262-305+351+338</w:t>
            </w:r>
          </w:p>
        </w:tc>
      </w:tr>
      <w:tr w:rsidR="00D62BCB" w:rsidRPr="009C5E28" w:rsidTr="001C402B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2BCB" w:rsidRDefault="00D62BCB" w:rsidP="001C402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Wasserstoffperoxid (</w:t>
            </w:r>
            <m:oMath>
              <m:r>
                <w:rPr>
                  <w:rFonts w:ascii="Cambria Math" w:hAnsi="Cambria Math"/>
                  <w:color w:val="auto"/>
                  <w:sz w:val="20"/>
                  <w:szCs w:val="20"/>
                </w:rPr>
                <m:t>w</m:t>
              </m:r>
            </m:oMath>
            <w:r>
              <w:rPr>
                <w:color w:val="auto"/>
                <w:sz w:val="20"/>
                <w:szCs w:val="20"/>
              </w:rPr>
              <w:t xml:space="preserve"> = 36 %)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271-332-302-314-335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220-261-305+351+338-310</w:t>
            </w:r>
          </w:p>
        </w:tc>
      </w:tr>
      <w:tr w:rsidR="00D62BCB" w:rsidRPr="009C5E28" w:rsidTr="001C402B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4" name="Grafik 73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19050" t="0" r="1905" b="0"/>
                  <wp:docPr id="75" name="Grafik 74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6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62BCB" w:rsidRPr="009C5E28" w:rsidRDefault="00D62BCB" w:rsidP="001C402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76" name="Grafik 7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1 50 </w:t>
      </w:r>
      <w:proofErr w:type="spellStart"/>
      <w:r>
        <w:t>mL</w:t>
      </w:r>
      <w:proofErr w:type="spellEnd"/>
      <w:r>
        <w:t xml:space="preserve"> Becherglas, 3 250 </w:t>
      </w:r>
      <w:proofErr w:type="spellStart"/>
      <w:r>
        <w:t>mL</w:t>
      </w:r>
      <w:proofErr w:type="spellEnd"/>
      <w:r>
        <w:t xml:space="preserve"> Becherglas, 4 100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Messkolben</w:t>
      </w:r>
      <w:proofErr w:type="spellEnd"/>
      <w:r>
        <w:t>, 100 </w:t>
      </w:r>
      <w:proofErr w:type="spellStart"/>
      <w:r>
        <w:t>mL</w:t>
      </w:r>
      <w:proofErr w:type="spellEnd"/>
      <w:r>
        <w:t xml:space="preserve"> Messzylinder, 10 </w:t>
      </w:r>
      <w:proofErr w:type="spellStart"/>
      <w:r>
        <w:t>mL</w:t>
      </w:r>
      <w:proofErr w:type="spellEnd"/>
      <w:r>
        <w:t xml:space="preserve"> Vollpipette, </w:t>
      </w:r>
      <w:proofErr w:type="spellStart"/>
      <w:r>
        <w:t>Magnetrührer</w:t>
      </w:r>
      <w:proofErr w:type="spellEnd"/>
      <w:r>
        <w:t>, Rührstäbchen</w:t>
      </w:r>
    </w:p>
    <w:p w:rsidR="00D62BCB" w:rsidRPr="00ED07C2" w:rsidRDefault="00D62BCB" w:rsidP="00D62BCB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Kaliumiodat, Perchlorsäure, Mangansulfat-Monohydrat, Stärke, </w:t>
      </w:r>
      <w:proofErr w:type="spellStart"/>
      <w:r>
        <w:t>Malonsäure</w:t>
      </w:r>
      <w:proofErr w:type="spellEnd"/>
      <w:r>
        <w:t>, 36 %-</w:t>
      </w:r>
      <w:proofErr w:type="spellStart"/>
      <w:r>
        <w:t>ige</w:t>
      </w:r>
      <w:proofErr w:type="spellEnd"/>
      <w:r>
        <w:t xml:space="preserve"> </w:t>
      </w:r>
      <w:proofErr w:type="spellStart"/>
      <w:r>
        <w:t>Wasserstoffperoxidlösung</w:t>
      </w:r>
      <w:proofErr w:type="spellEnd"/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Es werden zunächst vier Lösungen hergestellt. </w:t>
      </w:r>
    </w:p>
    <w:p w:rsidR="00D62BCB" w:rsidRDefault="00D62BCB" w:rsidP="00D62BCB">
      <w:pPr>
        <w:pStyle w:val="Aufzhlungszeichen"/>
        <w:numPr>
          <w:ilvl w:val="0"/>
          <w:numId w:val="0"/>
        </w:numPr>
      </w:pPr>
      <w:r>
        <w:tab/>
      </w:r>
      <w:r>
        <w:tab/>
      </w:r>
      <w:r>
        <w:tab/>
      </w:r>
      <w:r w:rsidRPr="004D3677">
        <w:rPr>
          <w:u w:val="single"/>
        </w:rPr>
        <w:t>Lösung A:</w:t>
      </w:r>
      <w:r>
        <w:t xml:space="preserve"> In einem 250 </w:t>
      </w:r>
      <w:proofErr w:type="spellStart"/>
      <w:r>
        <w:t>mL</w:t>
      </w:r>
      <w:proofErr w:type="spellEnd"/>
      <w:r>
        <w:t xml:space="preserve"> Becherglas werden in 80 </w:t>
      </w:r>
      <w:proofErr w:type="spellStart"/>
      <w:r>
        <w:t>mL</w:t>
      </w:r>
      <w:proofErr w:type="spellEnd"/>
      <w:r>
        <w:t xml:space="preserve"> dest. Wasser </w:t>
      </w:r>
      <w:r>
        <w:tab/>
      </w:r>
      <w:r>
        <w:tab/>
      </w:r>
      <w:r>
        <w:tab/>
        <w:t xml:space="preserve">1,35 g Stärke unter Wärmezufuhr gelöst. Nach dem Abkühlen wird die </w:t>
      </w:r>
      <w:r>
        <w:tab/>
      </w:r>
      <w:r>
        <w:tab/>
      </w:r>
      <w:r>
        <w:tab/>
        <w:t>Lösung in einen 100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Messkolben</w:t>
      </w:r>
      <w:proofErr w:type="spellEnd"/>
      <w:r>
        <w:t xml:space="preserve"> überführt und bis zu der Eichmarke </w:t>
      </w:r>
      <w:r>
        <w:tab/>
      </w:r>
      <w:r>
        <w:tab/>
      </w:r>
      <w:r>
        <w:tab/>
        <w:t>mit dest. Wasser aufgefüllt.</w:t>
      </w:r>
    </w:p>
    <w:p w:rsidR="00D62BCB" w:rsidRDefault="00D62BCB" w:rsidP="00D62BCB">
      <w:pPr>
        <w:pStyle w:val="Aufzhlungszeichen"/>
        <w:numPr>
          <w:ilvl w:val="0"/>
          <w:numId w:val="0"/>
        </w:numPr>
      </w:pPr>
      <w:r>
        <w:tab/>
      </w:r>
      <w:r>
        <w:tab/>
      </w:r>
      <w:r>
        <w:tab/>
      </w:r>
      <w:r w:rsidRPr="004D3677">
        <w:rPr>
          <w:u w:val="single"/>
        </w:rPr>
        <w:t>Lösung B:</w:t>
      </w:r>
      <w:r>
        <w:t xml:space="preserve"> In einem 250 </w:t>
      </w:r>
      <w:proofErr w:type="spellStart"/>
      <w:r>
        <w:t>mL</w:t>
      </w:r>
      <w:proofErr w:type="spellEnd"/>
      <w:r>
        <w:t xml:space="preserve"> Becherglas werden in 70 </w:t>
      </w:r>
      <w:proofErr w:type="spellStart"/>
      <w:r>
        <w:t>mL</w:t>
      </w:r>
      <w:proofErr w:type="spellEnd"/>
      <w:r>
        <w:t xml:space="preserve"> dest. Wasser </w:t>
      </w:r>
      <w:r>
        <w:tab/>
      </w:r>
      <w:r>
        <w:tab/>
      </w:r>
      <w:r>
        <w:tab/>
        <w:t xml:space="preserve">1,56 g Perchlorsäure und 4,26 g Kaliumiodat gelöst. Gegebenenfalls kann </w:t>
      </w:r>
      <w:r>
        <w:tab/>
      </w:r>
      <w:r>
        <w:tab/>
      </w:r>
      <w:r>
        <w:tab/>
        <w:t xml:space="preserve">die Lösung leicht erwärmt werden. Nach dem Abkühlen wird die Lösung </w:t>
      </w:r>
      <w:r>
        <w:tab/>
      </w:r>
      <w:r>
        <w:tab/>
      </w:r>
      <w:r>
        <w:tab/>
        <w:t>in einen 100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Messkolben</w:t>
      </w:r>
      <w:proofErr w:type="spellEnd"/>
      <w:r>
        <w:t xml:space="preserve"> überführt und bis zu der Eichmarke mit dest. </w:t>
      </w:r>
      <w:r>
        <w:tab/>
      </w:r>
      <w:r>
        <w:tab/>
      </w:r>
      <w:r>
        <w:tab/>
        <w:t>Wasser aufgefüllt.</w:t>
      </w:r>
    </w:p>
    <w:p w:rsidR="00D62BCB" w:rsidRDefault="00D62BCB" w:rsidP="00D62BCB">
      <w:pPr>
        <w:pStyle w:val="Aufzhlungszeichen"/>
        <w:numPr>
          <w:ilvl w:val="0"/>
          <w:numId w:val="0"/>
        </w:numPr>
      </w:pPr>
      <w:r>
        <w:tab/>
      </w:r>
      <w:r>
        <w:tab/>
      </w:r>
      <w:r>
        <w:tab/>
      </w:r>
      <w:r w:rsidRPr="004D3677">
        <w:rPr>
          <w:u w:val="single"/>
        </w:rPr>
        <w:t>Lösung C:</w:t>
      </w:r>
      <w:r>
        <w:t xml:space="preserve"> In einem 250 </w:t>
      </w:r>
      <w:proofErr w:type="spellStart"/>
      <w:r>
        <w:t>mL</w:t>
      </w:r>
      <w:proofErr w:type="spellEnd"/>
      <w:r>
        <w:t xml:space="preserve"> Becherglas werden in 60 </w:t>
      </w:r>
      <w:proofErr w:type="spellStart"/>
      <w:r>
        <w:t>mL</w:t>
      </w:r>
      <w:proofErr w:type="spellEnd"/>
      <w:r>
        <w:t xml:space="preserve"> dest. Wasser </w:t>
      </w:r>
      <w:r>
        <w:tab/>
      </w:r>
      <w:r>
        <w:tab/>
      </w:r>
      <w:r>
        <w:tab/>
        <w:t xml:space="preserve">1,56 g </w:t>
      </w:r>
      <w:proofErr w:type="spellStart"/>
      <w:r>
        <w:t>Malonsäure</w:t>
      </w:r>
      <w:proofErr w:type="spellEnd"/>
      <w:r>
        <w:t xml:space="preserve"> und 0,3 g Mangansulfat-Monohydrat gelöst. Nach </w:t>
      </w:r>
      <w:r>
        <w:tab/>
      </w:r>
      <w:r>
        <w:tab/>
      </w:r>
      <w:r>
        <w:tab/>
        <w:t>Überführung in einen 100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Messkolben</w:t>
      </w:r>
      <w:proofErr w:type="spellEnd"/>
      <w:r>
        <w:t xml:space="preserve"> versetzt man sie mit 10 </w:t>
      </w:r>
      <w:proofErr w:type="spellStart"/>
      <w:r>
        <w:t>mL</w:t>
      </w:r>
      <w:proofErr w:type="spellEnd"/>
      <w:r>
        <w:t xml:space="preserve"> </w:t>
      </w:r>
      <w:r>
        <w:lastRenderedPageBreak/>
        <w:tab/>
      </w:r>
      <w:r>
        <w:tab/>
      </w:r>
      <w:r>
        <w:tab/>
        <w:t xml:space="preserve">Stärkelösung (Lösung A) und bis zu der Eichmarke mit dest. Wasser </w:t>
      </w:r>
      <w:r>
        <w:tab/>
      </w:r>
      <w:r>
        <w:tab/>
      </w:r>
      <w:r>
        <w:tab/>
        <w:t>aufgefüllt.</w:t>
      </w:r>
    </w:p>
    <w:p w:rsidR="00D62BCB" w:rsidRDefault="00D62BCB" w:rsidP="00D62BCB">
      <w:pPr>
        <w:pStyle w:val="Aufzhlungszeichen"/>
        <w:numPr>
          <w:ilvl w:val="0"/>
          <w:numId w:val="0"/>
        </w:numPr>
      </w:pPr>
      <w:r>
        <w:tab/>
      </w:r>
      <w:r>
        <w:tab/>
      </w:r>
      <w:r>
        <w:tab/>
      </w:r>
      <w:r w:rsidRPr="004D3677">
        <w:rPr>
          <w:u w:val="single"/>
        </w:rPr>
        <w:t>Lösung D:</w:t>
      </w:r>
      <w:r>
        <w:t xml:space="preserve"> Mit einem 25 ml Messzylinder werden 24,2 </w:t>
      </w:r>
      <w:proofErr w:type="spellStart"/>
      <w:r>
        <w:t>mL</w:t>
      </w:r>
      <w:proofErr w:type="spellEnd"/>
      <w:r>
        <w:t xml:space="preserve"> </w:t>
      </w:r>
      <w:proofErr w:type="spellStart"/>
      <w:r>
        <w:t>Wasserstoffper</w:t>
      </w:r>
      <w:proofErr w:type="spellEnd"/>
      <w:r>
        <w:t>-</w:t>
      </w:r>
      <w:r>
        <w:tab/>
      </w:r>
      <w:r>
        <w:tab/>
      </w:r>
      <w:r>
        <w:tab/>
      </w:r>
      <w:proofErr w:type="spellStart"/>
      <w:r>
        <w:t>oxid</w:t>
      </w:r>
      <w:proofErr w:type="spellEnd"/>
      <w:r>
        <w:t xml:space="preserve"> abgemessen, in einen 100 </w:t>
      </w:r>
      <w:proofErr w:type="spellStart"/>
      <w:r>
        <w:t>mL</w:t>
      </w:r>
      <w:proofErr w:type="spellEnd"/>
      <w:r>
        <w:t xml:space="preserve"> </w:t>
      </w:r>
      <w:proofErr w:type="spellStart"/>
      <w:r>
        <w:t>Messkolben</w:t>
      </w:r>
      <w:proofErr w:type="spellEnd"/>
      <w:r>
        <w:t xml:space="preserve"> überführt und mit dest. </w:t>
      </w:r>
      <w:r>
        <w:tab/>
      </w:r>
      <w:r>
        <w:tab/>
      </w:r>
      <w:r>
        <w:tab/>
        <w:t>Wasser bis zu der Eichmarke aufgefüllt.</w:t>
      </w:r>
    </w:p>
    <w:p w:rsidR="00D62BCB" w:rsidRDefault="00D62BCB" w:rsidP="00D62BCB">
      <w:pPr>
        <w:pStyle w:val="Aufzhlungszeichen"/>
        <w:numPr>
          <w:ilvl w:val="0"/>
          <w:numId w:val="0"/>
        </w:numPr>
      </w:pPr>
    </w:p>
    <w:p w:rsidR="00D62BCB" w:rsidRDefault="00D62BCB" w:rsidP="00D62BCB">
      <w:pPr>
        <w:pStyle w:val="Aufzhlungszeichen"/>
        <w:numPr>
          <w:ilvl w:val="0"/>
          <w:numId w:val="0"/>
        </w:numPr>
      </w:pPr>
      <w:r>
        <w:tab/>
      </w:r>
      <w:r>
        <w:tab/>
      </w:r>
      <w:r>
        <w:tab/>
        <w:t>Nun werden äquivalente Mengen der Lösungen B, C und D in eine Petri-</w:t>
      </w:r>
      <w:r>
        <w:tab/>
      </w:r>
      <w:r>
        <w:tab/>
      </w:r>
      <w:r>
        <w:tab/>
        <w:t>schale gegeben.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farblose Lösung färbt sich nach einiger Zeit blau und entfärbt sich wieder. Dieser Vorgang wiederholt sich mehrmals. Eine Gasbildung ist b</w:t>
      </w:r>
      <w:r>
        <w:t>e</w:t>
      </w:r>
      <w:r>
        <w:t>obachtbar.</w:t>
      </w:r>
    </w:p>
    <w:p w:rsidR="00D62BCB" w:rsidRDefault="00D62BCB" w:rsidP="00D62BC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353310" cy="1543475"/>
            <wp:effectExtent l="19050" t="0" r="8890" b="0"/>
            <wp:docPr id="103" name="Grafik 102" descr="vlcsnap-2013-08-09-18h20m38s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csnap-2013-08-09-18h20m38s35.png"/>
                    <pic:cNvPicPr/>
                  </pic:nvPicPr>
                  <pic:blipFill>
                    <a:blip r:embed="rId14" cstate="print"/>
                    <a:srcRect l="7087" r="16240" b="11024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54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BCB" w:rsidRDefault="00D62BCB" w:rsidP="00D62BCB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Verlauf der Briggs-Rauscher-Reaktion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>Es finden oszillierende Redoxreaktionen statt. Die Farbänderungen treten auf Grund von Schwankungen der Iod- und Iodid-Ionen-Konzentration auf. Liegt eine niedrige Iod- und Iodid-Ionen-Konzentration vor, so erscheint die Lösung farblos. Steigt die Iod-</w:t>
      </w:r>
      <w:proofErr w:type="spellStart"/>
      <w:r>
        <w:t>konzentration</w:t>
      </w:r>
      <w:proofErr w:type="spellEnd"/>
      <w:r>
        <w:t xml:space="preserve"> bei bleibender niedriger Iodid-Ionen-Konzentration verfärbt sich die </w:t>
      </w:r>
      <w:proofErr w:type="spellStart"/>
      <w:r>
        <w:t>lösung</w:t>
      </w:r>
      <w:proofErr w:type="spellEnd"/>
      <w:r>
        <w:t xml:space="preserve"> charakteristisch gelb-bräunlich auf Grund von elementaren Iod. Bei ansteigender Iodid-Ionen-Konzentration und bleibender hoher Iod-Konzentration verfärbt sich die Lösung auf Grund der Anwesenheit von Stärke blau.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Die Reaktion läuft in zwei Hauptschritten ab, wobei die Reaktionen im er</w:t>
      </w:r>
      <w:r>
        <w:t>s</w:t>
      </w:r>
      <w:r>
        <w:t>ten Hauptschritt von der Iodid-Ionen-Konzentration abhängig sind und der zweite Hauptschritt die Oszillation erzeugt, da er die Konzentration der I</w:t>
      </w:r>
      <w:r>
        <w:t>o</w:t>
      </w:r>
      <w:r>
        <w:t>did-Ionen und des Iods regelt.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1. Hauptschritt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a) niedrige Iodid-Ionen-Konzentration (Es läuft eine </w:t>
      </w:r>
      <w:proofErr w:type="spellStart"/>
      <w:r>
        <w:t>radikalische</w:t>
      </w:r>
      <w:proofErr w:type="spellEnd"/>
      <w:r>
        <w:t xml:space="preserve"> Redo</w:t>
      </w:r>
      <w:r>
        <w:t>x</w:t>
      </w:r>
      <w:r>
        <w:t>reaktion ab)</w:t>
      </w:r>
    </w:p>
    <w:p w:rsidR="00D62BCB" w:rsidRPr="00146745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ab/>
      </w:r>
      <w:r>
        <w:tab/>
      </w:r>
      <m:oMath>
        <m:r>
          <w:rPr>
            <w:rFonts w:ascii="Cambria Math" w:hAnsi="Cambria Math"/>
          </w:rPr>
          <m:t>2 I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2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+ 2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 → 4 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 (aq)</m:t>
            </m:r>
          </m:sub>
        </m:sSub>
        <m:r>
          <w:rPr>
            <w:rFonts w:ascii="Cambria Math" w:hAnsi="Cambria Math"/>
          </w:rPr>
          <m:t xml:space="preserve">∙ + 2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(l)</m:t>
            </m:r>
          </m:sub>
        </m:sSub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4 I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2(aq)</m:t>
            </m:r>
          </m:sub>
        </m:sSub>
        <m:r>
          <w:rPr>
            <w:rFonts w:ascii="Cambria Math" w:eastAsiaTheme="minorEastAsia" w:hAnsi="Cambria Math"/>
          </w:rPr>
          <m:t xml:space="preserve">∙ + 4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Mn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2+</m:t>
            </m:r>
          </m:sup>
        </m:sSubSup>
        <m:r>
          <w:rPr>
            <w:rFonts w:ascii="Cambria Math" w:eastAsiaTheme="minorEastAsia" w:hAnsi="Cambria Math"/>
          </w:rPr>
          <m:t xml:space="preserve"> + 4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  <m:r>
          <w:rPr>
            <w:rFonts w:ascii="Cambria Math" w:eastAsiaTheme="minorEastAsia" w:hAnsi="Cambria Math"/>
          </w:rPr>
          <m:t xml:space="preserve"> → </m:t>
        </m:r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2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+ 4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Mn(OH)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2+</m:t>
            </m:r>
          </m:sup>
        </m:sSubSup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  <w:lang w:val="en-US"/>
          </w:rPr>
          <m:t xml:space="preserve">4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Mn(OH)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2+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+ 4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 (aq)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→ 4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Mn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2+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+ 4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+ 4 HO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∙ </m:t>
        </m:r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eastAsiaTheme="minorEastAsia" w:hAnsi="Cambria Math"/>
            <w:lang w:val="en-US"/>
          </w:rPr>
          <m:t>4 HO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∙ → 2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 (aq)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 (g)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</m:t>
        </m:r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w:r>
        <w:rPr>
          <w:rFonts w:eastAsiaTheme="minorEastAsia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01.65pt;margin-top:25.7pt;width:227.25pt;height:0;z-index:251661312" o:connectortype="straight"/>
        </w:pict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r>
          <w:rPr>
            <w:rFonts w:ascii="Cambria Math" w:hAnsi="Cambria Math"/>
          </w:rPr>
          <m:t xml:space="preserve">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+2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2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→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IO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 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+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bSup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IO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 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 (aq)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→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+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  <w:lang w:val="en-US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 (g)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</m:sSub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  <w:lang w:val="en-US"/>
        </w:rPr>
      </w:pP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 w:rsidRPr="000F61A4">
        <w:rPr>
          <w:rFonts w:eastAsiaTheme="minorEastAsia"/>
        </w:rPr>
        <w:t>b) hohe Iodid-Ionen-K</w:t>
      </w:r>
      <w:r>
        <w:rPr>
          <w:rFonts w:eastAsiaTheme="minorEastAsia"/>
        </w:rPr>
        <w:t xml:space="preserve">onzentration (Es läuft eine nicht </w:t>
      </w:r>
      <w:proofErr w:type="spellStart"/>
      <w:r>
        <w:rPr>
          <w:rFonts w:eastAsiaTheme="minorEastAsia"/>
        </w:rPr>
        <w:t>radikalische</w:t>
      </w:r>
      <w:proofErr w:type="spellEnd"/>
      <w:r>
        <w:rPr>
          <w:rFonts w:eastAsiaTheme="minorEastAsia"/>
        </w:rPr>
        <w:t xml:space="preserve"> Redo</w:t>
      </w:r>
      <w:r>
        <w:rPr>
          <w:rFonts w:eastAsiaTheme="minorEastAsia"/>
        </w:rPr>
        <w:t>x</w:t>
      </w:r>
      <w:r>
        <w:rPr>
          <w:rFonts w:eastAsiaTheme="minorEastAsia"/>
        </w:rPr>
        <w:t>reaktion ab)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I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3 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+2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→ </m:t>
        </m:r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2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+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IO</m:t>
            </m:r>
          </m:e>
          <m:sub>
            <m:r>
              <w:rPr>
                <w:rFonts w:ascii="Cambria Math" w:hAnsi="Cambria Math"/>
              </w:rPr>
              <m:t>2 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>→ 2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  <w:lang w:val="en-US"/>
          </w:rPr>
          <m:t>+ 2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pict>
          <v:shape id="_x0000_s1032" type="#_x0000_t32" style="position:absolute;left:0;text-align:left;margin-left:107.65pt;margin-top:23.75pt;width:234pt;height:0;z-index:251662336" o:connectortype="straight"/>
        </w:pi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+2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+ 4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</m:sSub>
        <m:r>
          <w:rPr>
            <w:rFonts w:ascii="Cambria Math" w:eastAsiaTheme="minorEastAsia" w:hAnsi="Cambria Math"/>
          </w:rPr>
          <m:t xml:space="preserve"> → 2 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</m:sSub>
        <m:r>
          <w:rPr>
            <w:rFonts w:ascii="Cambria Math" w:eastAsiaTheme="minorEastAsia" w:hAnsi="Cambria Math"/>
          </w:rPr>
          <m:t xml:space="preserve"> + 2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IO</m:t>
            </m:r>
          </m:e>
          <m:sub>
            <m:r>
              <w:rPr>
                <w:rFonts w:ascii="Cambria Math" w:eastAsiaTheme="minorEastAsia" w:hAnsi="Cambria Math"/>
              </w:rPr>
              <m:t>3 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→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+</m:t>
            </m:r>
          </m:sup>
        </m:sSup>
        <m:r>
          <w:rPr>
            <w:rFonts w:ascii="Cambria Math" w:eastAsiaTheme="minorEastAsia" w:hAnsi="Cambria Math"/>
            <w:lang w:val="en-US"/>
          </w:rPr>
          <m:t>+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2 (g)</m:t>
            </m:r>
          </m:sub>
        </m:sSub>
        <m:r>
          <w:rPr>
            <w:rFonts w:ascii="Cambria Math" w:eastAsiaTheme="minorEastAsia" w:hAnsi="Cambria Math"/>
          </w:rPr>
          <m:t xml:space="preserve"> +2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2. Hauptschritt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>+ I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(aq)</m:t>
            </m:r>
          </m:sub>
          <m:sup>
            <m:r>
              <w:rPr>
                <w:rFonts w:ascii="Cambria Math" w:eastAsiaTheme="minorEastAsia" w:hAnsi="Cambria Math"/>
                <w:lang w:val="en-US"/>
              </w:rPr>
              <m:t>-</m:t>
            </m:r>
          </m:sup>
        </m:sSubSup>
        <m:r>
          <w:rPr>
            <w:rFonts w:ascii="Cambria Math" w:eastAsiaTheme="minorEastAsia" w:hAnsi="Cambria Math"/>
          </w:rPr>
          <m:t xml:space="preserve"> + 2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 ⇋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  <w:noProof/>
          <w:lang w:eastAsia="de-DE"/>
        </w:rPr>
        <w:pict>
          <v:shape id="_x0000_s1033" type="#_x0000_t32" style="position:absolute;left:0;text-align:left;margin-left:100.15pt;margin-top:55.05pt;width:234pt;height:0;z-index:251663360" o:connectortype="straight"/>
        </w:pic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(CO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  <m:sup/>
        </m:sSubSup>
        <m:r>
          <w:rPr>
            <w:rFonts w:ascii="Cambria Math" w:eastAsiaTheme="minorEastAsia" w:hAnsi="Cambria Math"/>
          </w:rPr>
          <m:t xml:space="preserve">+ 2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→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ICH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(CO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 (aq)</m:t>
                </m:r>
              </m:sub>
              <m:sup/>
            </m:sSubSup>
          </m:e>
          <m:sub/>
        </m:sSub>
        <m:r>
          <w:rPr>
            <w:rFonts w:ascii="Cambria Math" w:eastAsiaTheme="minorEastAsia" w:hAnsi="Cambria Math"/>
          </w:rPr>
          <m:t xml:space="preserve">+ 2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+</m:t>
            </m:r>
          </m:sup>
        </m:sSubSup>
        <m:r>
          <w:rPr>
            <w:rFonts w:ascii="Cambria Math" w:eastAsiaTheme="minorEastAsia" w:hAnsi="Cambria Math"/>
          </w:rPr>
          <m:t xml:space="preserve"> + 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                                                                              I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  <m:sup>
            <m:r>
              <w:rPr>
                <w:rFonts w:ascii="Cambria Math" w:eastAsiaTheme="minorEastAsia" w:hAnsi="Cambria Math"/>
              </w:rPr>
              <m:t>-</m:t>
            </m:r>
          </m:sup>
        </m:sSubSup>
      </m:oMath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HI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(aq)</m:t>
            </m:r>
          </m:sub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(CO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O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</m:t>
                </m:r>
              </m:sup>
            </m:sSup>
            <m:r>
              <w:rPr>
                <w:rFonts w:ascii="Cambria Math" w:eastAsiaTheme="minorEastAsia" w:hAnsi="Cambria Math"/>
              </w:rPr>
              <m:t>)</m:t>
            </m:r>
          </m:e>
          <m:sub>
            <m:r>
              <w:rPr>
                <w:rFonts w:ascii="Cambria Math" w:eastAsiaTheme="minorEastAsia" w:hAnsi="Cambria Math"/>
              </w:rPr>
              <m:t>2 (aq)</m:t>
            </m:r>
          </m:sub>
          <m:sup/>
        </m:sSubSup>
        <m:r>
          <w:rPr>
            <w:rFonts w:ascii="Cambria Math" w:eastAsiaTheme="minorEastAsia" w:hAnsi="Cambria Math"/>
          </w:rPr>
          <m:t xml:space="preserve"> →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ICH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(CO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 (aq)</m:t>
                </m:r>
              </m:sub>
              <m:sup/>
            </m:sSubSup>
          </m:e>
          <m:sub/>
        </m:sSub>
        <m:r>
          <w:rPr>
            <w:rFonts w:ascii="Cambria Math" w:eastAsiaTheme="minorEastAsia" w:hAnsi="Cambria Math"/>
          </w:rPr>
          <m:t xml:space="preserve"> 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O</m:t>
            </m:r>
          </m:e>
          <m:sub>
            <m:r>
              <w:rPr>
                <w:rFonts w:ascii="Cambria Math" w:eastAsiaTheme="minorEastAsia" w:hAnsi="Cambria Math"/>
              </w:rPr>
              <m:t>(l)</m:t>
            </m:r>
          </m:sub>
        </m:sSub>
      </m:oMath>
    </w:p>
    <w:p w:rsidR="00D62BCB" w:rsidRPr="000F61A4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Entsorgung erfolgt in die Brandfördernden Abfälle.</w:t>
      </w:r>
    </w:p>
    <w:p w:rsidR="00D62BCB" w:rsidRDefault="00D62BCB" w:rsidP="00D62BCB">
      <w:pPr>
        <w:spacing w:line="276" w:lineRule="auto"/>
        <w:ind w:left="2098" w:hanging="2098"/>
        <w:jc w:val="left"/>
        <w:rPr>
          <w:color w:val="auto"/>
        </w:rPr>
      </w:pPr>
      <w:r>
        <w:t>Literatur:</w:t>
      </w:r>
      <w:r>
        <w:tab/>
      </w:r>
      <w:r>
        <w:tab/>
        <w:t xml:space="preserve">Pascal Schindler, </w:t>
      </w:r>
      <w:r>
        <w:rPr>
          <w:color w:val="auto"/>
        </w:rPr>
        <w:t xml:space="preserve">http://www.chemieunterricht </w:t>
      </w:r>
      <w:r w:rsidRPr="00F5433B">
        <w:rPr>
          <w:color w:val="auto"/>
        </w:rPr>
        <w:t>intera</w:t>
      </w:r>
      <w:r w:rsidRPr="00F5433B">
        <w:rPr>
          <w:color w:val="auto"/>
        </w:rPr>
        <w:t>k</w:t>
      </w:r>
      <w:r w:rsidRPr="00F5433B">
        <w:rPr>
          <w:color w:val="auto"/>
        </w:rPr>
        <w:t>tiv.de/lerneinheiten/briggs_rauscher/lerneinheitbriggsrauscher/start.ht</w:t>
      </w:r>
      <w:r>
        <w:rPr>
          <w:color w:val="auto"/>
        </w:rPr>
        <w:t>mL (zuletzt aufgerufen am 08.08.2013 um 22:15 Uhr)</w:t>
      </w:r>
    </w:p>
    <w:p w:rsidR="00D62BCB" w:rsidRPr="00F5433B" w:rsidRDefault="00D62BCB" w:rsidP="00D62BCB">
      <w:pPr>
        <w:spacing w:line="276" w:lineRule="auto"/>
        <w:ind w:left="2098" w:hanging="2098"/>
        <w:jc w:val="left"/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  <w:t xml:space="preserve">Anke Marburger, </w:t>
      </w:r>
      <w:r w:rsidRPr="00F5433B">
        <w:rPr>
          <w:color w:val="auto"/>
        </w:rPr>
        <w:t>http://www.chids.de/dachs/expvortr/578.pdf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WiSe</w:t>
      </w:r>
      <w:proofErr w:type="spellEnd"/>
      <w:r>
        <w:rPr>
          <w:color w:val="auto"/>
        </w:rPr>
        <w:t xml:space="preserve"> 1996/1997 (zuletzt aufgerufen am 08.08.2013 um 22:15 Uhr)</w:t>
      </w:r>
    </w:p>
    <w:p w:rsidR="00D62BCB" w:rsidRDefault="00D62BCB" w:rsidP="00D62BCB">
      <w:pPr>
        <w:tabs>
          <w:tab w:val="left" w:pos="1701"/>
          <w:tab w:val="left" w:pos="1985"/>
        </w:tabs>
        <w:ind w:left="1980" w:hanging="1980"/>
      </w:pPr>
      <w:r>
        <w:pict>
          <v:shape id="_x0000_s1029" type="#_x0000_t202" style="width:462.45pt;height:138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9">
              <w:txbxContent>
                <w:p w:rsidR="00D62BCB" w:rsidRPr="00DB5C66" w:rsidRDefault="00D62BCB" w:rsidP="00D62BCB">
                  <w:pPr>
                    <w:rPr>
                      <w:color w:val="auto"/>
                    </w:rPr>
                  </w:pPr>
                  <w:r w:rsidRPr="00DB5C66">
                    <w:rPr>
                      <w:color w:val="auto"/>
                    </w:rPr>
                    <w:t xml:space="preserve">Dieser Versuch eignet sich auch als Projektversuch oder als Thema einer Facharbeit. </w:t>
                  </w:r>
                  <w:r>
                    <w:rPr>
                      <w:color w:val="auto"/>
                    </w:rPr>
                    <w:t>Die SuS können so die Abhängigkeit der einzelnen Reaktionen vom sie umgebenden sauren Milieu erarbeiten. Gleichzeitig können sie sich noch einmal mit dem Thema Gleichgewichtsreaktion au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einandersetzen und die Verschiebung beobachten, wenn ein </w:t>
                  </w:r>
                  <w:proofErr w:type="spellStart"/>
                  <w:r>
                    <w:rPr>
                      <w:color w:val="auto"/>
                    </w:rPr>
                    <w:t>Reaktand</w:t>
                  </w:r>
                  <w:proofErr w:type="spellEnd"/>
                  <w:r>
                    <w:rPr>
                      <w:color w:val="auto"/>
                    </w:rPr>
                    <w:t xml:space="preserve"> verbraucht wird. Der Reaktionsmechanismus sollte entweder vorgegeben oder zusammen mit der Lehrperson era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beitet werden. </w:t>
                  </w:r>
                  <w:r w:rsidRPr="00DB5C66">
                    <w:rPr>
                      <w:color w:val="auto"/>
                    </w:rPr>
                    <w:t>Die SuS sollten gute Kenntnisse über das Thema Redoxreaktionen haben, um diesen Versuch entsprechend nachvollziehen zu können.</w:t>
                  </w: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D62BCB" w:rsidRPr="006E32AF" w:rsidRDefault="00D62BCB" w:rsidP="00D62BCB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571E98" w:rsidRDefault="001816BD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F0AD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112F"/>
    <w:rsid w:val="00007942"/>
    <w:rsid w:val="00065F38"/>
    <w:rsid w:val="000919FB"/>
    <w:rsid w:val="000B2B21"/>
    <w:rsid w:val="001816BD"/>
    <w:rsid w:val="00532490"/>
    <w:rsid w:val="006D58AC"/>
    <w:rsid w:val="008421E2"/>
    <w:rsid w:val="00A40FB1"/>
    <w:rsid w:val="00BF3520"/>
    <w:rsid w:val="00C5025D"/>
    <w:rsid w:val="00D2112F"/>
    <w:rsid w:val="00D62BCB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2"/>
        <o:r id="V:Rule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2BCB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2BCB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2BC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2BCB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2BC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2BC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2BC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2BC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2BC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2BC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2BCB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2BCB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2BCB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2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2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2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2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2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2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62BCB"/>
    <w:pPr>
      <w:spacing w:line="240" w:lineRule="auto"/>
    </w:pPr>
    <w:rPr>
      <w:bCs/>
      <w:color w:val="auto"/>
      <w:sz w:val="18"/>
      <w:szCs w:val="18"/>
    </w:rPr>
  </w:style>
  <w:style w:type="paragraph" w:styleId="Aufzhlungszeichen">
    <w:name w:val="List Bullet"/>
    <w:basedOn w:val="Standard"/>
    <w:uiPriority w:val="99"/>
    <w:unhideWhenUsed/>
    <w:rsid w:val="00D62BCB"/>
    <w:pPr>
      <w:numPr>
        <w:numId w:val="2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BCB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2013-08-14T08:38:00Z</dcterms:created>
  <dcterms:modified xsi:type="dcterms:W3CDTF">2013-08-14T08:38:00Z</dcterms:modified>
</cp:coreProperties>
</file>