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A5" w:rsidRDefault="00224DA5" w:rsidP="00224DA5">
      <w:pPr>
        <w:pStyle w:val="berschrift2"/>
        <w:numPr>
          <w:ilvl w:val="0"/>
          <w:numId w:val="0"/>
        </w:numPr>
        <w:ind w:left="576"/>
      </w:pPr>
      <w:bookmarkStart w:id="0" w:name="_Toc363819583"/>
      <w:r>
        <w:t>V 2 – Die Oxidationsstufen des Mangans</w:t>
      </w:r>
      <w:bookmarkEnd w:id="0"/>
    </w:p>
    <w:p w:rsidR="00224DA5" w:rsidRDefault="00224DA5" w:rsidP="00224DA5">
      <w:r>
        <w:rPr>
          <w:noProof/>
          <w:lang w:eastAsia="de-DE"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62.45pt;height:89.3pt;mso-position-horizontal-relative:char;mso-position-vertical-relative:line;mso-width-relative:margin;mso-height-relative:margin" fillcolor="white [3201]" strokecolor="#4bacc6 [3208]" strokeweight="1pt">
            <v:stroke dashstyle="dash"/>
            <v:shadow color="#868686"/>
            <v:textbox style="mso-next-textbox:#_x0000_s1031">
              <w:txbxContent>
                <w:p w:rsidR="00224DA5" w:rsidRPr="00490DC5" w:rsidRDefault="00224DA5" w:rsidP="00224DA5">
                  <w:pPr>
                    <w:rPr>
                      <w:color w:val="auto"/>
                    </w:rPr>
                  </w:pPr>
                  <w:r w:rsidRPr="00490DC5">
                    <w:rPr>
                      <w:color w:val="auto"/>
                    </w:rPr>
                    <w:t>In diesem Versuch sollen die verschiedenen Oxidationsstufen von Mangan visualisiert werden. Weiterhin wird die Abhängigkeit dieser von dem vorhandenen pH-Wert herausgearbeitet. Die SuS sollten den erweiterten Redoxbegriff kennen und die Farben der verschiedenen Oxidat</w:t>
                  </w:r>
                  <w:r w:rsidRPr="00490DC5">
                    <w:rPr>
                      <w:color w:val="auto"/>
                    </w:rPr>
                    <w:t>i</w:t>
                  </w:r>
                  <w:r w:rsidRPr="00490DC5">
                    <w:rPr>
                      <w:color w:val="auto"/>
                    </w:rPr>
                    <w:t>onsstufen von Mangan.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24DA5" w:rsidRPr="009C5E28" w:rsidTr="001C402B">
        <w:tc>
          <w:tcPr>
            <w:tcW w:w="9322" w:type="dxa"/>
            <w:gridSpan w:val="9"/>
            <w:shd w:val="clear" w:color="auto" w:fill="4F81BD"/>
            <w:vAlign w:val="center"/>
          </w:tcPr>
          <w:p w:rsidR="00224DA5" w:rsidRPr="009C5E28" w:rsidRDefault="00224DA5" w:rsidP="001C402B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224DA5" w:rsidRPr="009C5E28" w:rsidTr="001C402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DA5" w:rsidRPr="009C5E28" w:rsidRDefault="00224DA5" w:rsidP="001C402B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Kaliumpermanganat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DA5" w:rsidRPr="009C5E28" w:rsidRDefault="00224DA5" w:rsidP="001C402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272-302-410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24DA5" w:rsidRPr="009C5E28" w:rsidRDefault="00224DA5" w:rsidP="001C402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210-273</w:t>
            </w:r>
          </w:p>
        </w:tc>
      </w:tr>
      <w:tr w:rsidR="00224DA5" w:rsidRPr="009C5E28" w:rsidTr="001C402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224DA5" w:rsidRPr="009C5E28" w:rsidRDefault="00224DA5" w:rsidP="001C402B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Verd. Schwefelsäure (c&lt;0,5 </w:t>
            </w:r>
            <w:proofErr w:type="spellStart"/>
            <w:r>
              <w:rPr>
                <w:color w:val="auto"/>
                <w:sz w:val="20"/>
                <w:szCs w:val="20"/>
              </w:rPr>
              <w:t>mol</w:t>
            </w:r>
            <w:proofErr w:type="spellEnd"/>
            <w:r>
              <w:rPr>
                <w:color w:val="auto"/>
                <w:sz w:val="20"/>
                <w:szCs w:val="20"/>
              </w:rPr>
              <w:t>/l)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224DA5" w:rsidRPr="009C5E28" w:rsidRDefault="00224DA5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24DA5" w:rsidRPr="009C5E28" w:rsidRDefault="00224DA5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-</w:t>
            </w:r>
          </w:p>
        </w:tc>
      </w:tr>
      <w:tr w:rsidR="00224DA5" w:rsidRPr="009C5E28" w:rsidTr="001C402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224DA5" w:rsidRDefault="00224DA5" w:rsidP="001C402B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Verd. Natronlauge (c&lt;0,5 </w:t>
            </w:r>
            <w:proofErr w:type="spellStart"/>
            <w:r>
              <w:rPr>
                <w:color w:val="auto"/>
                <w:sz w:val="20"/>
                <w:szCs w:val="20"/>
              </w:rPr>
              <w:t>mol</w:t>
            </w:r>
            <w:proofErr w:type="spellEnd"/>
            <w:r>
              <w:rPr>
                <w:color w:val="auto"/>
                <w:sz w:val="20"/>
                <w:szCs w:val="20"/>
              </w:rPr>
              <w:t>/l)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224DA5" w:rsidRPr="009C5E28" w:rsidRDefault="00224DA5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314-290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24DA5" w:rsidRPr="009C5E28" w:rsidRDefault="00224DA5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280-301+330+331-305+351+338</w:t>
            </w:r>
          </w:p>
        </w:tc>
      </w:tr>
      <w:tr w:rsidR="00224DA5" w:rsidRPr="009C5E28" w:rsidTr="001C402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224DA5" w:rsidRDefault="00224DA5" w:rsidP="001C402B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Natriumsulfit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224DA5" w:rsidRDefault="00224DA5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24DA5" w:rsidRDefault="00224DA5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224DA5" w:rsidRPr="009C5E28" w:rsidTr="001C402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DA5" w:rsidRPr="009C5E28" w:rsidRDefault="00224DA5" w:rsidP="001C40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8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DA5" w:rsidRPr="009C5E28" w:rsidRDefault="00224DA5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89" name="Grafik 85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DA5" w:rsidRPr="009C5E28" w:rsidRDefault="00224DA5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0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DA5" w:rsidRPr="009C5E28" w:rsidRDefault="00224DA5" w:rsidP="001C40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" name="Grafik 1" descr="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osionsgefahr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DA5" w:rsidRPr="009C5E28" w:rsidRDefault="00224DA5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08965" cy="608965"/>
                  <wp:effectExtent l="19050" t="0" r="635" b="0"/>
                  <wp:docPr id="3" name="Grafik 2" descr="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flasch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DA5" w:rsidRPr="009C5E28" w:rsidRDefault="00224DA5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3395" cy="493395"/>
                  <wp:effectExtent l="19050" t="0" r="1905" b="0"/>
                  <wp:docPr id="4" name="Grafik 3" descr="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undheitsgefah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DA5" w:rsidRPr="009C5E28" w:rsidRDefault="00224DA5" w:rsidP="001C40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481965" cy="481965"/>
                  <wp:effectExtent l="19050" t="0" r="0" b="0"/>
                  <wp:docPr id="5" name="Grafik 4" descr="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24DA5" w:rsidRPr="009C5E28" w:rsidRDefault="00224DA5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13" name="Grafik 12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24DA5" w:rsidRPr="009C5E28" w:rsidRDefault="00224DA5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14" name="Grafik 13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DA5" w:rsidRDefault="00224DA5" w:rsidP="00224DA5">
      <w:pPr>
        <w:tabs>
          <w:tab w:val="left" w:pos="1701"/>
          <w:tab w:val="left" w:pos="1985"/>
        </w:tabs>
        <w:ind w:left="1980" w:hanging="1980"/>
      </w:pPr>
    </w:p>
    <w:p w:rsidR="00224DA5" w:rsidRDefault="00224DA5" w:rsidP="00224DA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3 Reagenzgläser mit Stopfen, Reagenzglasständer, Pasteurpipette, Spatel</w:t>
      </w:r>
    </w:p>
    <w:p w:rsidR="00224DA5" w:rsidRPr="00ED07C2" w:rsidRDefault="00224DA5" w:rsidP="00224DA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Natriumsulfit, verd. Natronlauge, verd. Schwefelsäure, verd. Kaliumpe</w:t>
      </w:r>
      <w:r>
        <w:t>r</w:t>
      </w:r>
      <w:r>
        <w:t>manganatlösung</w:t>
      </w:r>
    </w:p>
    <w:p w:rsidR="00224DA5" w:rsidRDefault="00224DA5" w:rsidP="00224DA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In jedes Reagenzglas werden zwei Spatelspitzen Natriumsulfit gegeben. anschließend werden diese mit dest. Wasser bis zu circa einem Drittel g</w:t>
      </w:r>
      <w:r>
        <w:t>e</w:t>
      </w:r>
      <w:r>
        <w:t>füllt, mit dem Stopfen verschlossen und solang geschüttelt, bis sich das Salz gelöst hat. Nun werden in das erste Reagenzglas circa 6 Tropfen verd. Schwefelsäure und in das zweite 6 Tropfen verd. Natronlauge gegeben. Danach werden in alle drei Reagenzgläser je 4 Tropfen verd. Kaliumperma</w:t>
      </w:r>
      <w:r>
        <w:t>n</w:t>
      </w:r>
      <w:r>
        <w:t>ganat-Lösung hinzugefügt.</w:t>
      </w:r>
    </w:p>
    <w:p w:rsidR="00224DA5" w:rsidRDefault="00224DA5" w:rsidP="00224DA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Im sauren Milieu entfärbt sich die Lösung, im basischen Milieu verfärbt sich die Lösung grün und im neutralen Milieu braun.</w:t>
      </w:r>
    </w:p>
    <w:p w:rsidR="00224DA5" w:rsidRDefault="00224DA5" w:rsidP="00224DA5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2800350" cy="2100263"/>
            <wp:effectExtent l="19050" t="0" r="0" b="0"/>
            <wp:docPr id="102" name="Grafik 101" descr="WP_001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37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424" cy="209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DA5" w:rsidRDefault="00224DA5" w:rsidP="00224DA5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4</w:t>
        </w:r>
      </w:fldSimple>
      <w:r>
        <w:t>: Entfärbung im sauren Milieu (links), brauner Niederschlag im neutralen Milieu (Mitte), Grünfärbung im basischen Milieu (rechts)</w:t>
      </w:r>
    </w:p>
    <w:p w:rsidR="00224DA5" w:rsidRDefault="00224DA5" w:rsidP="00224DA5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Es findet jeweils eine Redoxreaktion statt, wobei die Permanganat-Ionen reduziert werden. Findet die Redoxreaktion in einer Lösung mit einem niedrigeren pH-Wert als 7 statt, werden sie bis zur Oxidationsstufe II red</w:t>
      </w:r>
      <w:r>
        <w:t>u</w:t>
      </w:r>
      <w:r>
        <w:t>ziert, in neutraler Lösung bis zur Oxidationsstufe IV und in alkalischer L</w:t>
      </w:r>
      <w:r>
        <w:t>ö</w:t>
      </w:r>
      <w:r>
        <w:t>sung bis zur Oxidationsstufe VI.</w:t>
      </w:r>
    </w:p>
    <w:p w:rsidR="00224DA5" w:rsidRDefault="00224DA5" w:rsidP="00224DA5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saures Milieu:</w:t>
      </w:r>
    </w:p>
    <w:p w:rsidR="00224DA5" w:rsidRDefault="00224DA5" w:rsidP="00224DA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ab/>
      </w:r>
      <w:r>
        <w:tab/>
      </w:r>
      <m:oMath>
        <m:r>
          <w:rPr>
            <w:rFonts w:ascii="Cambria Math" w:hAnsi="Cambria Math"/>
          </w:rPr>
          <m:t>2 Mn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4 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 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5 SO</m:t>
            </m:r>
          </m:e>
          <m:sub>
            <m:r>
              <w:rPr>
                <w:rFonts w:ascii="Cambria Math" w:hAnsi="Cambria Math"/>
              </w:rPr>
              <m:t>3 (aq)</m:t>
            </m:r>
          </m:sub>
          <m:sup>
            <m:r>
              <w:rPr>
                <w:rFonts w:ascii="Cambria Math" w:hAnsi="Cambria Math"/>
              </w:rPr>
              <m:t>2-</m:t>
            </m:r>
          </m:sup>
        </m:sSubSup>
        <m:r>
          <w:rPr>
            <w:rFonts w:ascii="Cambria Math" w:hAnsi="Cambria Math"/>
          </w:rPr>
          <m:t xml:space="preserve"> + 6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 → 2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Mn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2+</m:t>
            </m:r>
          </m:sup>
        </m:sSubSup>
        <m:r>
          <w:rPr>
            <w:rFonts w:ascii="Cambria Math" w:hAnsi="Cambria Math"/>
          </w:rPr>
          <m:t xml:space="preserve"> + 5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SO</m:t>
            </m:r>
          </m:e>
          <m:sub>
            <m:r>
              <w:rPr>
                <w:rFonts w:ascii="Cambria Math" w:hAnsi="Cambria Math"/>
              </w:rPr>
              <m:t>4 (aq)</m:t>
            </m:r>
          </m:sub>
          <m:sup>
            <m:r>
              <w:rPr>
                <w:rFonts w:ascii="Cambria Math" w:hAnsi="Cambria Math"/>
              </w:rPr>
              <m:t>2-</m:t>
            </m:r>
          </m:sup>
        </m:sSubSup>
        <m:r>
          <w:rPr>
            <w:rFonts w:ascii="Cambria Math" w:hAnsi="Cambria Math"/>
          </w:rPr>
          <m:t xml:space="preserve"> 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3 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(l)</m:t>
            </m:r>
          </m:sub>
        </m:sSub>
      </m:oMath>
    </w:p>
    <w:p w:rsidR="00224DA5" w:rsidRDefault="00224DA5" w:rsidP="00224DA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im neutralen Milieu:</w:t>
      </w:r>
    </w:p>
    <w:p w:rsidR="00224DA5" w:rsidRDefault="00224DA5" w:rsidP="00224DA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2 </m:t>
        </m:r>
        <m:r>
          <w:rPr>
            <w:rFonts w:ascii="Cambria Math" w:hAnsi="Cambria Math"/>
          </w:rPr>
          <m:t>Mn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4 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 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3 SO</m:t>
            </m:r>
          </m:e>
          <m:sub>
            <m:r>
              <w:rPr>
                <w:rFonts w:ascii="Cambria Math" w:hAnsi="Cambria Math"/>
              </w:rPr>
              <m:t>3 (aq)</m:t>
            </m:r>
          </m:sub>
          <m:sup>
            <m:r>
              <w:rPr>
                <w:rFonts w:ascii="Cambria Math" w:hAnsi="Cambria Math"/>
              </w:rPr>
              <m:t>2-</m:t>
            </m:r>
          </m:sup>
        </m:sSubSup>
        <m:r>
          <w:rPr>
            <w:rFonts w:ascii="Cambria Math" w:hAnsi="Cambria Math"/>
          </w:rPr>
          <m:t xml:space="preserve"> + 2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 → 2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MnO</m:t>
            </m:r>
          </m:e>
          <m:sub>
            <m:r>
              <w:rPr>
                <w:rFonts w:ascii="Cambria Math" w:hAnsi="Cambria Math"/>
              </w:rPr>
              <m:t>2 (s)</m:t>
            </m:r>
          </m:sub>
        </m:sSub>
        <m:r>
          <w:rPr>
            <w:rFonts w:ascii="Cambria Math" w:hAnsi="Cambria Math"/>
          </w:rPr>
          <m:t xml:space="preserve"> + 3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SO</m:t>
            </m:r>
          </m:e>
          <m:sub>
            <m:r>
              <w:rPr>
                <w:rFonts w:ascii="Cambria Math" w:hAnsi="Cambria Math"/>
              </w:rPr>
              <m:t>4 (aq)</m:t>
            </m:r>
          </m:sub>
          <m:sup>
            <m:r>
              <w:rPr>
                <w:rFonts w:ascii="Cambria Math" w:hAnsi="Cambria Math"/>
              </w:rPr>
              <m:t>2-</m:t>
            </m:r>
          </m:sup>
        </m:sSubSup>
        <m:r>
          <w:rPr>
            <w:rFonts w:ascii="Cambria Math" w:hAnsi="Cambria Math"/>
          </w:rPr>
          <m:t xml:space="preserve"> 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(l)</m:t>
            </m:r>
          </m:sub>
        </m:sSub>
      </m:oMath>
    </w:p>
    <w:p w:rsidR="00224DA5" w:rsidRDefault="00224DA5" w:rsidP="00224DA5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basisches Milieu:</w:t>
      </w:r>
    </w:p>
    <w:p w:rsidR="00224DA5" w:rsidRDefault="00224DA5" w:rsidP="00224DA5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m:oMath>
        <m:r>
          <w:rPr>
            <w:rFonts w:ascii="Cambria Math" w:hAnsi="Cambria Math"/>
          </w:rPr>
          <m:t>2 Mn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4 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 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SO</m:t>
            </m:r>
          </m:e>
          <m:sub>
            <m:r>
              <w:rPr>
                <w:rFonts w:ascii="Cambria Math" w:hAnsi="Cambria Math"/>
              </w:rPr>
              <m:t>3 (aq)</m:t>
            </m:r>
          </m:sub>
          <m:sup>
            <m:r>
              <w:rPr>
                <w:rFonts w:ascii="Cambria Math" w:hAnsi="Cambria Math"/>
              </w:rPr>
              <m:t>2-</m:t>
            </m:r>
          </m:sup>
        </m:sSubSup>
        <m:r>
          <w:rPr>
            <w:rFonts w:ascii="Cambria Math" w:hAnsi="Cambria Math"/>
          </w:rPr>
          <m:t xml:space="preserve"> +  2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OH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 →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2 MnO</m:t>
            </m:r>
          </m:e>
          <m:sub>
            <m:r>
              <w:rPr>
                <w:rFonts w:ascii="Cambria Math" w:hAnsi="Cambria Math"/>
              </w:rPr>
              <m:t>4 (aq)</m:t>
            </m:r>
          </m:sub>
          <m:sup>
            <m:r>
              <w:rPr>
                <w:rFonts w:ascii="Cambria Math" w:hAnsi="Cambria Math"/>
              </w:rPr>
              <m:t>2-</m:t>
            </m:r>
          </m:sup>
        </m:sSubSup>
        <m:r>
          <w:rPr>
            <w:rFonts w:ascii="Cambria Math" w:hAnsi="Cambria Math"/>
          </w:rPr>
          <m:t xml:space="preserve"> +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SO</m:t>
            </m:r>
          </m:e>
          <m:sub>
            <m:r>
              <w:rPr>
                <w:rFonts w:ascii="Cambria Math" w:hAnsi="Cambria Math"/>
              </w:rPr>
              <m:t>4 (aq)</m:t>
            </m:r>
          </m:sub>
          <m:sup>
            <m:r>
              <w:rPr>
                <w:rFonts w:ascii="Cambria Math" w:hAnsi="Cambria Math"/>
              </w:rPr>
              <m:t>2-</m:t>
            </m:r>
          </m:sup>
        </m:sSubSup>
        <m:r>
          <w:rPr>
            <w:rFonts w:ascii="Cambria Math" w:hAnsi="Cambria Math"/>
          </w:rPr>
          <m:t xml:space="preserve"> 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                                                        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(l)</m:t>
            </m:r>
          </m:sub>
        </m:sSub>
        <m:r>
          <w:rPr>
            <w:rFonts w:ascii="Cambria Math" w:hAnsi="Cambria Math"/>
          </w:rPr>
          <m:t xml:space="preserve"> </m:t>
        </m:r>
      </m:oMath>
    </w:p>
    <w:p w:rsidR="00224DA5" w:rsidRDefault="00224DA5" w:rsidP="00224DA5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Entsorgung in Brandfördernde Abfälle.</w:t>
      </w:r>
    </w:p>
    <w:p w:rsidR="00224DA5" w:rsidRDefault="00224DA5" w:rsidP="00224DA5">
      <w:pPr>
        <w:spacing w:line="276" w:lineRule="auto"/>
        <w:ind w:left="2041" w:hanging="2041"/>
        <w:jc w:val="left"/>
        <w:rPr>
          <w:color w:val="auto"/>
        </w:rPr>
      </w:pPr>
      <w:r>
        <w:t>Literatur:                       Dr. Sven Sommer, http://netexperimente.de/chemie/115.htmL</w:t>
      </w:r>
      <w:r>
        <w:rPr>
          <w:color w:val="auto"/>
        </w:rPr>
        <w:t xml:space="preserve"> (zuletzt aufgerufen am 09.08.2013 um 8.30 Uhr) </w:t>
      </w:r>
    </w:p>
    <w:p w:rsidR="00571E98" w:rsidRDefault="00224DA5" w:rsidP="00224DA5">
      <w:r>
        <w:rPr>
          <w:color w:val="auto"/>
        </w:rPr>
      </w:r>
      <w:r>
        <w:rPr>
          <w:color w:val="auto"/>
        </w:rPr>
        <w:pict>
          <v:shape id="_x0000_s1029" type="#_x0000_t202" style="width:462.45pt;height:86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9">
              <w:txbxContent>
                <w:p w:rsidR="00224DA5" w:rsidRPr="00883954" w:rsidRDefault="00224DA5" w:rsidP="00224DA5">
                  <w:pPr>
                    <w:rPr>
                      <w:color w:val="auto"/>
                    </w:rPr>
                  </w:pPr>
                  <w:r w:rsidRPr="00883954">
                    <w:rPr>
                      <w:color w:val="auto"/>
                    </w:rPr>
                    <w:t>Dieser Versuch kann auch als Schauversuch verwendet werden, wenn zunächst Kaliumpe</w:t>
                  </w:r>
                  <w:r w:rsidRPr="00883954">
                    <w:rPr>
                      <w:color w:val="auto"/>
                    </w:rPr>
                    <w:t>r</w:t>
                  </w:r>
                  <w:r w:rsidRPr="00883954">
                    <w:rPr>
                      <w:color w:val="auto"/>
                    </w:rPr>
                    <w:t>manganat in dest. Wasser gelöst, dann eine Lösung von Natriumsulfit und verd. Schwefelsäure zugegeben und anschließend gerade so viel verd. Natronlauge hinzugefügt wird, dass sich die Lösung grün färbt.</w:t>
                  </w:r>
                </w:p>
              </w:txbxContent>
            </v:textbox>
            <w10:wrap type="none"/>
            <w10:anchorlock/>
          </v:shape>
        </w:pict>
      </w:r>
    </w:p>
    <w:sectPr w:rsidR="00571E98" w:rsidSect="00842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539E2"/>
    <w:rsid w:val="00007942"/>
    <w:rsid w:val="00065F38"/>
    <w:rsid w:val="000919FB"/>
    <w:rsid w:val="000B2B21"/>
    <w:rsid w:val="00224DA5"/>
    <w:rsid w:val="00532490"/>
    <w:rsid w:val="006D58AC"/>
    <w:rsid w:val="008421E2"/>
    <w:rsid w:val="009539E2"/>
    <w:rsid w:val="00A40FB1"/>
    <w:rsid w:val="00BC090E"/>
    <w:rsid w:val="00BF3520"/>
    <w:rsid w:val="00C5025D"/>
    <w:rsid w:val="00E7230F"/>
    <w:rsid w:val="00ED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DA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4DA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4DA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24DA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4DA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4DA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4DA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4DA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4DA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4DA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4DA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4DA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24DA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4D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4D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4D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4D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4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4D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224DA5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DA5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Prinzessin</dc:creator>
  <cp:lastModifiedBy>Prinzessin</cp:lastModifiedBy>
  <cp:revision>2</cp:revision>
  <dcterms:created xsi:type="dcterms:W3CDTF">2013-08-14T08:41:00Z</dcterms:created>
  <dcterms:modified xsi:type="dcterms:W3CDTF">2013-08-14T08:41:00Z</dcterms:modified>
</cp:coreProperties>
</file>