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D6" w:rsidRDefault="00A87BD6" w:rsidP="00A87BD6">
      <w:pPr>
        <w:pStyle w:val="berschrift2"/>
        <w:numPr>
          <w:ilvl w:val="0"/>
          <w:numId w:val="0"/>
        </w:numPr>
        <w:ind w:left="576" w:hanging="576"/>
      </w:pPr>
      <w:bookmarkStart w:id="0" w:name="_Toc396928507"/>
      <w:r>
        <w:t>V 2 – Nachweis von Ketonen</w:t>
      </w:r>
      <w:bookmarkEnd w:id="0"/>
    </w:p>
    <w:p w:rsidR="00A87BD6" w:rsidRDefault="00A87BD6" w:rsidP="00A87BD6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1pt;margin-top:7.3pt;width:462.45pt;height:44.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A87BD6" w:rsidRPr="007D3BAA" w:rsidRDefault="00A87BD6" w:rsidP="00A87BD6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Dieser Versuch eignet sich, um Ketone nachzuweisen. Mit diesem Versuch kann das Reaktion</w:t>
                  </w:r>
                  <w:r>
                    <w:rPr>
                      <w:color w:val="auto"/>
                    </w:rPr>
                    <w:t>s</w:t>
                  </w:r>
                  <w:r>
                    <w:rPr>
                      <w:color w:val="auto"/>
                    </w:rPr>
                    <w:t>produkt aus V1 getestet werden. Die Schüler benötigen kein spezielles Vorwissen.</w:t>
                  </w:r>
                </w:p>
              </w:txbxContent>
            </v:textbox>
            <w10:wrap type="square"/>
          </v:shape>
        </w:pic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A87BD6" w:rsidRPr="00CD03BD" w:rsidTr="00D8625C">
        <w:tc>
          <w:tcPr>
            <w:tcW w:w="9322" w:type="dxa"/>
            <w:gridSpan w:val="9"/>
            <w:shd w:val="clear" w:color="auto" w:fill="4F81BD"/>
            <w:vAlign w:val="center"/>
          </w:tcPr>
          <w:p w:rsidR="00A87BD6" w:rsidRPr="00CD03BD" w:rsidRDefault="00A87BD6" w:rsidP="00D8625C">
            <w:pPr>
              <w:spacing w:after="0"/>
              <w:jc w:val="center"/>
              <w:rPr>
                <w:b/>
                <w:bCs/>
              </w:rPr>
            </w:pPr>
            <w:r w:rsidRPr="00CD03BD">
              <w:rPr>
                <w:b/>
                <w:bCs/>
              </w:rPr>
              <w:t>Gefahrenstoffe</w:t>
            </w:r>
          </w:p>
        </w:tc>
      </w:tr>
      <w:tr w:rsidR="00A87BD6" w:rsidRPr="00CD03BD" w:rsidTr="00D8625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87BD6" w:rsidRPr="00061150" w:rsidRDefault="00A87BD6" w:rsidP="00D8625C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061150">
              <w:rPr>
                <w:sz w:val="20"/>
                <w:szCs w:val="20"/>
              </w:rPr>
              <w:t>2,4-Dinitrophenylhydrazin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87BD6" w:rsidRPr="00CD03BD" w:rsidRDefault="00A87BD6" w:rsidP="00D8625C">
            <w:pPr>
              <w:spacing w:after="0"/>
              <w:jc w:val="center"/>
            </w:pPr>
            <w:r w:rsidRPr="00CD03BD">
              <w:rPr>
                <w:sz w:val="20"/>
              </w:rPr>
              <w:t xml:space="preserve">H: </w:t>
            </w:r>
            <w:r>
              <w:rPr>
                <w:sz w:val="20"/>
              </w:rPr>
              <w:t>228-302-319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87BD6" w:rsidRPr="00CD03BD" w:rsidRDefault="00A87BD6" w:rsidP="00D8625C">
            <w:pPr>
              <w:spacing w:after="0"/>
              <w:jc w:val="center"/>
            </w:pPr>
            <w:r w:rsidRPr="00CD03BD">
              <w:rPr>
                <w:sz w:val="20"/>
              </w:rPr>
              <w:t xml:space="preserve">P: </w:t>
            </w:r>
            <w:r>
              <w:rPr>
                <w:sz w:val="20"/>
              </w:rPr>
              <w:t>210-305+351+338</w:t>
            </w:r>
          </w:p>
        </w:tc>
      </w:tr>
      <w:tr w:rsidR="00A87BD6" w:rsidRPr="00CD03BD" w:rsidTr="00D8625C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A87BD6" w:rsidRPr="00CD03BD" w:rsidRDefault="00A87BD6" w:rsidP="00D8625C">
            <w:pPr>
              <w:spacing w:after="0" w:line="276" w:lineRule="auto"/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Konz</w:t>
            </w:r>
            <w:proofErr w:type="spellEnd"/>
            <w:r>
              <w:rPr>
                <w:bCs/>
                <w:sz w:val="20"/>
              </w:rPr>
              <w:t>. Salzsäure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A87BD6" w:rsidRPr="00CD03BD" w:rsidRDefault="00A87BD6" w:rsidP="00D8625C">
            <w:pPr>
              <w:pStyle w:val="Beschriftung"/>
              <w:spacing w:after="0"/>
              <w:jc w:val="center"/>
              <w:rPr>
                <w:sz w:val="20"/>
              </w:rPr>
            </w:pPr>
            <w:r w:rsidRPr="00CD03BD">
              <w:rPr>
                <w:sz w:val="20"/>
              </w:rPr>
              <w:t xml:space="preserve">H: </w:t>
            </w:r>
            <w:r>
              <w:rPr>
                <w:sz w:val="20"/>
              </w:rPr>
              <w:t>314-335-290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A87BD6" w:rsidRPr="00CD03BD" w:rsidRDefault="00A87BD6" w:rsidP="00D8625C">
            <w:pPr>
              <w:pStyle w:val="Beschriftung"/>
              <w:spacing w:after="0"/>
              <w:jc w:val="center"/>
              <w:rPr>
                <w:sz w:val="20"/>
              </w:rPr>
            </w:pPr>
            <w:r w:rsidRPr="00CD03BD">
              <w:rPr>
                <w:sz w:val="20"/>
              </w:rPr>
              <w:t xml:space="preserve">P: </w:t>
            </w:r>
            <w:r>
              <w:rPr>
                <w:sz w:val="20"/>
              </w:rPr>
              <w:t>280-301+330+331-305+351+338</w:t>
            </w:r>
          </w:p>
        </w:tc>
      </w:tr>
      <w:tr w:rsidR="00A87BD6" w:rsidRPr="00CD03BD" w:rsidTr="00D8625C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87BD6" w:rsidRPr="00CD03BD" w:rsidRDefault="00A87BD6" w:rsidP="00D8625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55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87BD6" w:rsidRPr="00CD03BD" w:rsidRDefault="00A87BD6" w:rsidP="00D8625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56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87BD6" w:rsidRPr="00CD03BD" w:rsidRDefault="00A87BD6" w:rsidP="00D8625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34838" cy="534838"/>
                  <wp:effectExtent l="0" t="0" r="0" b="0"/>
                  <wp:docPr id="57" name="Bild 11" descr="C:\Users\Anne\AppData\Local\Temp\Rar$DI04.761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ne\AppData\Local\Temp\Rar$DI04.761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295" cy="535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87BD6" w:rsidRPr="00CD03BD" w:rsidRDefault="00A87BD6" w:rsidP="00D8625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5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87BD6" w:rsidRPr="00CD03BD" w:rsidRDefault="00A87BD6" w:rsidP="00D8625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59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87BD6" w:rsidRPr="00CD03BD" w:rsidRDefault="00A87BD6" w:rsidP="00D8625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60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87BD6" w:rsidRPr="00CD03BD" w:rsidRDefault="00A87BD6" w:rsidP="00D8625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61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87BD6" w:rsidRPr="00CD03BD" w:rsidRDefault="00A87BD6" w:rsidP="00D8625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9270" cy="509270"/>
                  <wp:effectExtent l="19050" t="0" r="5080" b="0"/>
                  <wp:docPr id="62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87BD6" w:rsidRPr="00CD03BD" w:rsidRDefault="00A87BD6" w:rsidP="00D8625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85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7BD6" w:rsidRDefault="00A87BD6" w:rsidP="00A87BD6">
      <w:pPr>
        <w:tabs>
          <w:tab w:val="left" w:pos="1701"/>
          <w:tab w:val="left" w:pos="1985"/>
        </w:tabs>
        <w:ind w:left="1980" w:hanging="1980"/>
      </w:pPr>
    </w:p>
    <w:p w:rsidR="00A87BD6" w:rsidRDefault="00A87BD6" w:rsidP="00A87BD6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proofErr w:type="spellStart"/>
      <w:r>
        <w:t>Erlenmeyerkolben</w:t>
      </w:r>
      <w:proofErr w:type="spellEnd"/>
      <w:r>
        <w:t xml:space="preserve"> 150 </w:t>
      </w:r>
      <w:proofErr w:type="spellStart"/>
      <w:r>
        <w:t>mL</w:t>
      </w:r>
      <w:proofErr w:type="spellEnd"/>
      <w:r>
        <w:t>, Stopfen, Reagenzglas</w:t>
      </w:r>
    </w:p>
    <w:p w:rsidR="00A87BD6" w:rsidRPr="00ED07C2" w:rsidRDefault="00A87BD6" w:rsidP="00A87BD6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2,4-Dinitrophenylhydrazin, konzentrierte Salzsäure, Wasser, Keton</w:t>
      </w:r>
    </w:p>
    <w:p w:rsidR="00A87BD6" w:rsidRDefault="00A87BD6" w:rsidP="00A87BD6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Zu 0,2 g des 2,4-Dinitrophenylhydrazins werden 5 </w:t>
      </w:r>
      <w:proofErr w:type="spellStart"/>
      <w:r>
        <w:t>mL</w:t>
      </w:r>
      <w:proofErr w:type="spellEnd"/>
      <w:r>
        <w:t xml:space="preserve"> konzentrierte Sal</w:t>
      </w:r>
      <w:r>
        <w:t>z</w:t>
      </w:r>
      <w:r>
        <w:t xml:space="preserve">säure und 100 </w:t>
      </w:r>
      <w:proofErr w:type="spellStart"/>
      <w:r>
        <w:t>mL</w:t>
      </w:r>
      <w:proofErr w:type="spellEnd"/>
      <w:r>
        <w:t xml:space="preserve"> Wasser dazugegeben. Der </w:t>
      </w:r>
      <w:proofErr w:type="spellStart"/>
      <w:r>
        <w:t>Erlenmeyerkolben</w:t>
      </w:r>
      <w:proofErr w:type="spellEnd"/>
      <w:r>
        <w:t xml:space="preserve"> wird krä</w:t>
      </w:r>
      <w:r>
        <w:t>f</w:t>
      </w:r>
      <w:r>
        <w:t xml:space="preserve">tig geschüttelt. Dann wird ein Reagenzglas ungefähr zu einem Drittel mit der Lösung gefüllt und die auf Ketone zu untersuchende Probe (1-2 </w:t>
      </w:r>
      <w:proofErr w:type="spellStart"/>
      <w:r>
        <w:t>mL</w:t>
      </w:r>
      <w:proofErr w:type="spellEnd"/>
      <w:r>
        <w:t>) dazugegeben.</w:t>
      </w:r>
    </w:p>
    <w:p w:rsidR="00A87BD6" w:rsidRDefault="00A87BD6" w:rsidP="00A87BD6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Die Lösung verfärbt sich zu einem satten Gelb und es fällt ein gelber Ni</w:t>
      </w:r>
      <w:r>
        <w:t>e</w:t>
      </w:r>
      <w:r>
        <w:t>derschlag aus.</w:t>
      </w:r>
    </w:p>
    <w:p w:rsidR="00A87BD6" w:rsidRDefault="00A87BD6" w:rsidP="00A87BD6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1369803" cy="2461720"/>
            <wp:effectExtent l="19050" t="0" r="1797" b="0"/>
            <wp:docPr id="86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037" cy="246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BD6" w:rsidRDefault="00A87BD6" w:rsidP="00A87BD6">
      <w:pPr>
        <w:pStyle w:val="Beschriftung"/>
        <w:jc w:val="left"/>
      </w:pPr>
      <w:r>
        <w:t xml:space="preserve">Abb. 3 – </w:t>
      </w:r>
      <w:r>
        <w:rPr>
          <w:noProof/>
        </w:rPr>
        <w:t>links Nachweisreagenz, rechts positiver Nachweis.</w:t>
      </w:r>
    </w:p>
    <w:p w:rsidR="00A87BD6" w:rsidRDefault="00A87BD6" w:rsidP="00A87BD6">
      <w:pPr>
        <w:tabs>
          <w:tab w:val="left" w:pos="1701"/>
          <w:tab w:val="left" w:pos="1985"/>
        </w:tabs>
        <w:ind w:left="1980" w:hanging="1980"/>
      </w:pPr>
      <w:r>
        <w:lastRenderedPageBreak/>
        <w:t>Deutung:</w:t>
      </w:r>
      <w:r>
        <w:tab/>
      </w:r>
      <w:r>
        <w:tab/>
      </w:r>
      <w:r>
        <w:tab/>
        <w:t>Unter sauren Bedingungen fällt 2,4-Dinitrophenylhydrazon aus. Der Nac</w:t>
      </w:r>
      <w:r>
        <w:t>h</w:t>
      </w:r>
      <w:r>
        <w:t>weis ist positiv, die untersuchte Probe enthält Ketone.</w:t>
      </w:r>
    </w:p>
    <w:p w:rsidR="00A87BD6" w:rsidRDefault="00A87BD6" w:rsidP="00A87BD6">
      <w:pPr>
        <w:tabs>
          <w:tab w:val="left" w:pos="1701"/>
          <w:tab w:val="left" w:pos="1985"/>
        </w:tabs>
        <w:ind w:left="1980" w:hanging="1980"/>
        <w:jc w:val="center"/>
      </w:pPr>
      <w:r w:rsidRPr="00C429EF">
        <w:rPr>
          <w:noProof/>
          <w:lang w:eastAsia="de-DE"/>
        </w:rPr>
        <w:drawing>
          <wp:inline distT="0" distB="0" distL="0" distR="0">
            <wp:extent cx="3217653" cy="692446"/>
            <wp:effectExtent l="19050" t="0" r="1797" b="0"/>
            <wp:docPr id="158" name="Grafik 2" descr="C:\Dropbox\Uni Dirk\SVP\11-12 Alkanone\Hydrazin-Hydraz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ropbox\Uni Dirk\SVP\11-12 Alkanone\Hydrazin-Hydrazo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548" cy="6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BD6" w:rsidRDefault="00A87BD6" w:rsidP="00A87BD6">
      <w:pPr>
        <w:tabs>
          <w:tab w:val="left" w:pos="1701"/>
          <w:tab w:val="left" w:pos="1985"/>
        </w:tabs>
        <w:ind w:left="1980" w:hanging="1980"/>
      </w:pPr>
      <w:r>
        <w:t xml:space="preserve">Entsorgung: </w:t>
      </w:r>
      <w:r>
        <w:tab/>
      </w:r>
      <w:r>
        <w:tab/>
        <w:t>2,4-Dinitrophenylhydrazin am besten gesondert im dafür vorgesehenen Behälter entsorgen, alternativ im Behälter für organische Feststoffe bzw. organische Lösungsmittel.</w:t>
      </w:r>
    </w:p>
    <w:p w:rsidR="00A87BD6" w:rsidRPr="007D3BAA" w:rsidRDefault="00A87BD6" w:rsidP="00A87BD6">
      <w:pPr>
        <w:spacing w:line="276" w:lineRule="auto"/>
        <w:ind w:left="1980" w:hanging="1980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</w:r>
      <w:r w:rsidRPr="007D3BAA">
        <w:rPr>
          <w:color w:val="auto"/>
        </w:rPr>
        <w:t xml:space="preserve">[2] H. </w:t>
      </w:r>
      <w:proofErr w:type="spellStart"/>
      <w:r w:rsidRPr="007D3BAA">
        <w:rPr>
          <w:color w:val="auto"/>
        </w:rPr>
        <w:t>Keune</w:t>
      </w:r>
      <w:proofErr w:type="spellEnd"/>
      <w:r w:rsidRPr="007D3BAA">
        <w:rPr>
          <w:color w:val="auto"/>
        </w:rPr>
        <w:t>, M. Just, Chemische</w:t>
      </w:r>
      <w:r>
        <w:rPr>
          <w:color w:val="auto"/>
        </w:rPr>
        <w:t xml:space="preserve"> Schulexperimente Band 2 Organische Chemie, </w:t>
      </w:r>
      <w:proofErr w:type="spellStart"/>
      <w:r>
        <w:rPr>
          <w:color w:val="auto"/>
        </w:rPr>
        <w:t>Cornelsen</w:t>
      </w:r>
      <w:proofErr w:type="spellEnd"/>
      <w:r>
        <w:rPr>
          <w:color w:val="auto"/>
        </w:rPr>
        <w:t xml:space="preserve"> Volk und Wissen, 2009, S. 132.</w:t>
      </w:r>
    </w:p>
    <w:p w:rsidR="00A87BD6" w:rsidRPr="007D3BAA" w:rsidRDefault="00A87BD6" w:rsidP="00A87BD6">
      <w:pPr>
        <w:tabs>
          <w:tab w:val="left" w:pos="1701"/>
          <w:tab w:val="left" w:pos="1985"/>
        </w:tabs>
        <w:ind w:left="1980" w:hanging="1980"/>
      </w:pPr>
    </w:p>
    <w:p w:rsidR="00A87BD6" w:rsidRPr="006E32AF" w:rsidRDefault="00A87BD6" w:rsidP="00A87BD6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7A4760">
        <w:pict>
          <v:shape id="_x0000_s1026" type="#_x0000_t202" style="width:462.45pt;height:45.1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A87BD6" w:rsidRPr="007D3BAA" w:rsidRDefault="00A87BD6" w:rsidP="00A87BD6">
                  <w:pPr>
                    <w:rPr>
                      <w:color w:val="auto"/>
                    </w:rPr>
                  </w:pPr>
                  <w:r w:rsidRPr="007D3BAA">
                    <w:rPr>
                      <w:color w:val="auto"/>
                    </w:rPr>
                    <w:t>Dieser</w:t>
                  </w:r>
                  <w:r>
                    <w:rPr>
                      <w:color w:val="auto"/>
                    </w:rPr>
                    <w:t xml:space="preserve"> Versuch darf nicht von den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durchgeführt werden, da diese nicht mit </w:t>
                  </w:r>
                  <w:r>
                    <w:t>2,4-Dinitrophenylhydrazin arbeiten dürfen.</w:t>
                  </w:r>
                  <w:r w:rsidRPr="00C5714A">
                    <w:t xml:space="preserve"> </w:t>
                  </w:r>
                  <w:r>
                    <w:t>2,4-Dinitrophenylhydrazin ist explosiv!</w:t>
                  </w:r>
                </w:p>
              </w:txbxContent>
            </v:textbox>
            <w10:wrap type="none"/>
            <w10:anchorlock/>
          </v:shape>
        </w:pict>
      </w:r>
    </w:p>
    <w:p w:rsidR="00A87BD6" w:rsidRPr="006E32AF" w:rsidRDefault="00A87BD6" w:rsidP="00A87BD6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</w:p>
    <w:p w:rsidR="00CD041B" w:rsidRDefault="00CD041B"/>
    <w:sectPr w:rsidR="00CD041B" w:rsidSect="00CD04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87BD6"/>
    <w:rsid w:val="0010317F"/>
    <w:rsid w:val="00A87BD6"/>
    <w:rsid w:val="00CD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7BD6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7BD6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7BD6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7BD6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87BD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87BD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7BD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7BD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7BD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7BD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7BD6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87BD6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7BD6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87B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7B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7B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87B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7B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7B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A87BD6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7BD6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 Dr.Kellner</dc:creator>
  <cp:keywords/>
  <dc:description/>
  <cp:lastModifiedBy>Praxis Dr.Kellner</cp:lastModifiedBy>
  <cp:revision>1</cp:revision>
  <dcterms:created xsi:type="dcterms:W3CDTF">2014-08-27T17:05:00Z</dcterms:created>
  <dcterms:modified xsi:type="dcterms:W3CDTF">2014-08-27T17:05:00Z</dcterms:modified>
</cp:coreProperties>
</file>