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0B" w:rsidRDefault="00CF110B" w:rsidP="00CF110B">
      <w:pPr>
        <w:pStyle w:val="berschrift2"/>
        <w:numPr>
          <w:ilvl w:val="0"/>
          <w:numId w:val="0"/>
        </w:numPr>
        <w:ind w:left="576" w:hanging="576"/>
      </w:pPr>
      <w:bookmarkStart w:id="0" w:name="_Toc396928511"/>
      <w:r>
        <w:t xml:space="preserve">V 5 – Darstellung von Aceton aus </w:t>
      </w:r>
      <w:proofErr w:type="spellStart"/>
      <w:r>
        <w:t>Calciumacetat</w:t>
      </w:r>
      <w:bookmarkEnd w:id="0"/>
      <w:proofErr w:type="spellEnd"/>
    </w:p>
    <w:p w:rsidR="00CF110B" w:rsidRDefault="00CF110B" w:rsidP="00CF110B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45pt;margin-top:5.95pt;width:462.45pt;height:43.4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CF110B" w:rsidRPr="00DF13AB" w:rsidRDefault="00CF110B" w:rsidP="00CF110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stellt eine Alternative zu V1 dar.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mit dem klassischen Reakt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>onsweg für die Herstellung von Aceton aus einem sekundären Alkohol vertraut sein.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F110B" w:rsidRPr="009C5E28" w:rsidTr="00D8625C">
        <w:tc>
          <w:tcPr>
            <w:tcW w:w="9322" w:type="dxa"/>
            <w:gridSpan w:val="9"/>
            <w:shd w:val="clear" w:color="auto" w:fill="4F81BD"/>
            <w:vAlign w:val="center"/>
          </w:tcPr>
          <w:p w:rsidR="00CF110B" w:rsidRPr="009C5E28" w:rsidRDefault="00CF110B" w:rsidP="00D8625C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F110B" w:rsidRPr="009C5E28" w:rsidTr="00D8625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Aceton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225-319-336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210-233-305+351+338</w:t>
            </w:r>
          </w:p>
        </w:tc>
      </w:tr>
      <w:tr w:rsidR="00CF110B" w:rsidRPr="009C5E28" w:rsidTr="00D8625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7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F110B" w:rsidRPr="009C5E28" w:rsidRDefault="00CF110B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10B" w:rsidRDefault="00CF110B" w:rsidP="00CF110B">
      <w:pPr>
        <w:tabs>
          <w:tab w:val="left" w:pos="1701"/>
          <w:tab w:val="left" w:pos="1985"/>
        </w:tabs>
        <w:ind w:left="1980" w:hanging="1980"/>
      </w:pPr>
    </w:p>
    <w:p w:rsidR="00CF110B" w:rsidRDefault="00CF110B" w:rsidP="00CF110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400 </w:t>
      </w:r>
      <w:proofErr w:type="spellStart"/>
      <w:r>
        <w:t>mL</w:t>
      </w:r>
      <w:proofErr w:type="spellEnd"/>
      <w:r>
        <w:t xml:space="preserve"> Becherglas, schwer schmelzbares Reagenzglas, Reagenzglas, durchbohrter Stopfen, rechtwinklig gebogenes </w:t>
      </w:r>
      <w:proofErr w:type="spellStart"/>
      <w:r>
        <w:t>Glasrohr</w:t>
      </w:r>
      <w:proofErr w:type="spellEnd"/>
      <w:r>
        <w:t>, Bunsenbrenner</w:t>
      </w:r>
    </w:p>
    <w:p w:rsidR="00CF110B" w:rsidRPr="00ED07C2" w:rsidRDefault="00CF110B" w:rsidP="00CF110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Calciumacetat</w:t>
      </w:r>
      <w:proofErr w:type="spellEnd"/>
      <w:r>
        <w:t xml:space="preserve"> Mono-Hydrat</w:t>
      </w:r>
    </w:p>
    <w:p w:rsidR="00CF110B" w:rsidRDefault="00CF110B" w:rsidP="00CF110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1 g </w:t>
      </w:r>
      <w:proofErr w:type="spellStart"/>
      <w:r>
        <w:t>Calciumacetat</w:t>
      </w:r>
      <w:proofErr w:type="spellEnd"/>
      <w:r>
        <w:t xml:space="preserve"> Mono-Hydrat wird in das schwer schmelzbare Reagen</w:t>
      </w:r>
      <w:r>
        <w:t>z</w:t>
      </w:r>
      <w:r>
        <w:t>glas gegeben und mit dem durchbohrten Stopfen verschlossen. Das rec</w:t>
      </w:r>
      <w:r>
        <w:t>h</w:t>
      </w:r>
      <w:r>
        <w:t xml:space="preserve">twinklige </w:t>
      </w:r>
      <w:proofErr w:type="spellStart"/>
      <w:r>
        <w:t>Glasrohr</w:t>
      </w:r>
      <w:proofErr w:type="spellEnd"/>
      <w:r>
        <w:t xml:space="preserve"> wird auf der einen Seite durch den Stopfen gesteckt und auf der anderen in das zweite Reagenzglas. Dieses Reagenzglas steht in dem mit Wasser und Eis </w:t>
      </w:r>
      <w:proofErr w:type="spellStart"/>
      <w:r>
        <w:t>befüllten</w:t>
      </w:r>
      <w:proofErr w:type="spellEnd"/>
      <w:r>
        <w:t xml:space="preserve"> Becherglas. Das </w:t>
      </w:r>
      <w:proofErr w:type="spellStart"/>
      <w:r>
        <w:t>Calciumacetat</w:t>
      </w:r>
      <w:proofErr w:type="spellEnd"/>
      <w:r>
        <w:t xml:space="preserve"> Mono-Hydrat wird mit dem Bunsenbrenner stark erhitzt.</w:t>
      </w:r>
    </w:p>
    <w:p w:rsidR="00CF110B" w:rsidRDefault="00CF110B" w:rsidP="00CF110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Im Verlauf der Reaktion beginnt das </w:t>
      </w:r>
      <w:proofErr w:type="spellStart"/>
      <w:r>
        <w:t>Calciumacetat</w:t>
      </w:r>
      <w:proofErr w:type="spellEnd"/>
      <w:r>
        <w:t xml:space="preserve"> Mono-Hydrat zu glühen und verfärbt sich schwarz-grau. Ein Gas entsteht und kondensiert im zwe</w:t>
      </w:r>
      <w:r>
        <w:t>i</w:t>
      </w:r>
      <w:r>
        <w:t>ten Reagenzglas zu einer leicht gelben Flüssigkeit.</w:t>
      </w:r>
    </w:p>
    <w:p w:rsidR="00CF110B" w:rsidRDefault="00CF110B" w:rsidP="00CF110B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596551" cy="2251494"/>
            <wp:effectExtent l="19050" t="0" r="0" b="0"/>
            <wp:docPr id="4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1" cy="225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688981" cy="2251336"/>
            <wp:effectExtent l="19050" t="0" r="6469" b="0"/>
            <wp:docPr id="73" name="Bild 7" descr="C:\Dokumente und Einstellungen\Praxis Dr.Kellner\Eigene Dateien\SVP\BilderSVP\BilderAlkanone\DSCF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Praxis Dr.Kellner\Eigene Dateien\SVP\BilderSVP\BilderAlkanone\DSCF79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77" cy="225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10B" w:rsidRDefault="00CF110B" w:rsidP="00CF110B">
      <w:pPr>
        <w:pStyle w:val="Beschriftung"/>
        <w:jc w:val="left"/>
      </w:pPr>
      <w:r>
        <w:t xml:space="preserve">Abb. 7-8 – links: </w:t>
      </w:r>
      <w:r>
        <w:rPr>
          <w:noProof/>
        </w:rPr>
        <w:t>Versuchsaufbau, rechts: Reaktionsprodukt.</w:t>
      </w:r>
    </w:p>
    <w:p w:rsidR="00CF110B" w:rsidRDefault="00CF110B" w:rsidP="00CF110B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Bei der entstandenen Flüssigkeit handelt es sich um Aceton. Das Aceton wurde gemäß folgender Reaktionsgleichung synthetisiert:</w:t>
      </w:r>
    </w:p>
    <w:p w:rsidR="00CF110B" w:rsidRDefault="00CF110B" w:rsidP="00CF110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(C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COO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Ca</m:t>
              </m:r>
            </m:e>
            <m:sub>
              <m:r>
                <w:rPr>
                  <w:rFonts w:ascii="Cambria Math" w:hAnsi="Cambria Math"/>
                </w:rPr>
                <m:t xml:space="preserve"> (s)</m:t>
              </m:r>
            </m:sub>
          </m:sSub>
          <m:r>
            <w:rPr>
              <w:rFonts w:ascii="Cambria Math" w:hAnsi="Cambria Math"/>
            </w:rPr>
            <m:t xml:space="preserve"> →CaC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 (s)</m:t>
              </m:r>
            </m:sub>
          </m:sSub>
          <m:r>
            <w:rPr>
              <w:rFonts w:ascii="Cambria Math" w:hAnsi="Cambria Math"/>
            </w:rPr>
            <m:t>+ 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COC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 (l)</m:t>
              </m:r>
            </m:sub>
          </m:sSub>
        </m:oMath>
      </m:oMathPara>
    </w:p>
    <w:p w:rsidR="00CF110B" w:rsidRDefault="00CF110B" w:rsidP="00CF110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 xml:space="preserve">Entsorgung: </w:t>
      </w:r>
      <w:r>
        <w:rPr>
          <w:rFonts w:eastAsiaTheme="minorEastAsia"/>
        </w:rPr>
        <w:tab/>
      </w:r>
      <w:r>
        <w:rPr>
          <w:rFonts w:eastAsiaTheme="minorEastAsia"/>
        </w:rPr>
        <w:tab/>
        <w:t>Edukt- und Produktreste werden in den Behälter für organische Lösung</w:t>
      </w:r>
      <w:r>
        <w:rPr>
          <w:rFonts w:eastAsiaTheme="minorEastAsia"/>
        </w:rPr>
        <w:t>s</w:t>
      </w:r>
      <w:r>
        <w:rPr>
          <w:rFonts w:eastAsiaTheme="minorEastAsia"/>
        </w:rPr>
        <w:t>mittel gegeben.</w:t>
      </w:r>
    </w:p>
    <w:p w:rsidR="00CF110B" w:rsidRPr="00FE4DCD" w:rsidRDefault="00CF110B" w:rsidP="00CF110B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>
        <w:t>Literatur:</w:t>
      </w:r>
      <w:r>
        <w:tab/>
      </w:r>
      <w:bookmarkStart w:id="1" w:name="OLE_LINK1"/>
      <w:bookmarkStart w:id="2" w:name="OLE_LINK2"/>
      <w:r>
        <w:t xml:space="preserve">[5] </w:t>
      </w:r>
      <w:r>
        <w:rPr>
          <w:color w:val="auto"/>
        </w:rPr>
        <w:t xml:space="preserve">W. Glöckner, W. Jansen, Handbuch der experimentellen Chemie </w:t>
      </w:r>
      <w:proofErr w:type="spellStart"/>
      <w:r>
        <w:rPr>
          <w:color w:val="auto"/>
        </w:rPr>
        <w:t>Seku</w:t>
      </w:r>
      <w:r>
        <w:rPr>
          <w:color w:val="auto"/>
        </w:rPr>
        <w:t>n</w:t>
      </w:r>
      <w:r>
        <w:rPr>
          <w:color w:val="auto"/>
        </w:rPr>
        <w:t>darbereich</w:t>
      </w:r>
      <w:proofErr w:type="spellEnd"/>
      <w:r>
        <w:rPr>
          <w:color w:val="auto"/>
        </w:rPr>
        <w:t xml:space="preserve"> II Band 10,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>, 2008, S. 119f.</w:t>
      </w:r>
      <w:bookmarkEnd w:id="1"/>
      <w:bookmarkEnd w:id="2"/>
    </w:p>
    <w:p w:rsidR="00CF110B" w:rsidRDefault="00CF110B" w:rsidP="00CF110B">
      <w:pPr>
        <w:tabs>
          <w:tab w:val="left" w:pos="1701"/>
          <w:tab w:val="left" w:pos="1985"/>
        </w:tabs>
        <w:ind w:left="1980" w:hanging="1980"/>
      </w:pPr>
    </w:p>
    <w:p w:rsidR="00CF110B" w:rsidRPr="00C429EF" w:rsidRDefault="00CF110B" w:rsidP="00CF110B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82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CF110B" w:rsidRPr="00DF13AB" w:rsidRDefault="00CF110B" w:rsidP="00CF110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Das Reagenzglas mit dem </w:t>
                  </w:r>
                  <w:proofErr w:type="spellStart"/>
                  <w:r>
                    <w:rPr>
                      <w:color w:val="auto"/>
                    </w:rPr>
                    <w:t>Calciumacetat</w:t>
                  </w:r>
                  <w:proofErr w:type="spellEnd"/>
                  <w:r>
                    <w:rPr>
                      <w:color w:val="auto"/>
                    </w:rPr>
                    <w:t xml:space="preserve"> lässt sich durch das entstandene </w:t>
                  </w:r>
                  <w:proofErr w:type="spellStart"/>
                  <w:r>
                    <w:rPr>
                      <w:color w:val="auto"/>
                    </w:rPr>
                    <w:t>Calciumcarbonat</w:t>
                  </w:r>
                  <w:proofErr w:type="spellEnd"/>
                  <w:r>
                    <w:rPr>
                      <w:color w:val="auto"/>
                    </w:rPr>
                    <w:t xml:space="preserve"> nach der Reaktion nicht mehr vollständig reinigen. Dieser Versuch stellt eine Alternative zu V1 dar und zeigt einen alternativen Syntheseweg für die Herstellung von Aceton auf. Auch ist di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ser Versuch im Vergleich zu V1 deutlich schneller durchführbar.</w:t>
                  </w:r>
                </w:p>
              </w:txbxContent>
            </v:textbox>
            <w10:wrap type="none"/>
            <w10:anchorlock/>
          </v:shape>
        </w:pict>
      </w:r>
    </w:p>
    <w:p w:rsidR="00CD041B" w:rsidRDefault="00CD041B"/>
    <w:sectPr w:rsidR="00CD041B" w:rsidSect="00CD0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110B"/>
    <w:rsid w:val="00C7691B"/>
    <w:rsid w:val="00CD041B"/>
    <w:rsid w:val="00CF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110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110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11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110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110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110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110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110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110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110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110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110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110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1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11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11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1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1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1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F110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10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2014-08-27T17:07:00Z</dcterms:created>
  <dcterms:modified xsi:type="dcterms:W3CDTF">2014-08-27T17:08:00Z</dcterms:modified>
</cp:coreProperties>
</file>