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3D" w:rsidRDefault="007E763D" w:rsidP="004D585F">
      <w:pPr>
        <w:pStyle w:val="berschrift2"/>
        <w:numPr>
          <w:ilvl w:val="0"/>
          <w:numId w:val="0"/>
        </w:numPr>
      </w:pPr>
    </w:p>
    <w:p w:rsidR="004D585F" w:rsidRDefault="004D585F" w:rsidP="004D585F">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03.35pt;z-index:251660288;mso-width-relative:margin;mso-height-relative:margin" fillcolor="white [3201]" strokecolor="#4bacc6 [3208]" strokeweight="1pt">
            <v:stroke dashstyle="dash"/>
            <v:shadow color="#868686"/>
            <v:textbox style="mso-next-textbox:#_x0000_s1027">
              <w:txbxContent>
                <w:p w:rsidR="004D585F" w:rsidRPr="00B13EDF" w:rsidRDefault="004D585F" w:rsidP="004D585F">
                  <w:pPr>
                    <w:rPr>
                      <w:color w:val="auto"/>
                    </w:rPr>
                  </w:pPr>
                  <w:r w:rsidRPr="00B13EDF">
                    <w:rPr>
                      <w:color w:val="auto"/>
                    </w:rPr>
                    <w:t>Dieser Versuch zeigt anhand der Reaktion von Kupfer(II)-Ionen und Zink eine spontane ex</w:t>
                  </w:r>
                  <w:r w:rsidRPr="00B13EDF">
                    <w:rPr>
                      <w:color w:val="auto"/>
                    </w:rPr>
                    <w:t>o</w:t>
                  </w:r>
                  <w:r w:rsidRPr="00B13EDF">
                    <w:rPr>
                      <w:color w:val="auto"/>
                    </w:rPr>
                    <w:t>therme Reaktion. Anhand ihrer lässt sich anschließend die Reaktionsenthalpie berechnen. Als Vorwissen wird daher vorausgesetzt, dass die Schüler und Schülerinnen sich mit dem Begriff Reaktionsenthalpie und dessen Berechnung auskennen. Außerdem müssen sie Reaktionsgle</w:t>
                  </w:r>
                  <w:r w:rsidRPr="00B13EDF">
                    <w:rPr>
                      <w:color w:val="auto"/>
                    </w:rPr>
                    <w:t>i</w:t>
                  </w:r>
                  <w:r w:rsidRPr="00B13EDF">
                    <w:rPr>
                      <w:color w:val="auto"/>
                    </w:rPr>
                    <w:t>chungen in Formelsprache formulieren können.</w:t>
                  </w:r>
                </w:p>
              </w:txbxContent>
            </v:textbox>
            <w10:wrap type="square"/>
          </v:shape>
        </w:pict>
      </w:r>
      <w:bookmarkStart w:id="0" w:name="_Toc396751099"/>
      <w:r>
        <w:t>V 2 – Molare Reaktionsenthalpie bei der Reaktion von Kupfer(II)-Ionen mit Zink</w:t>
      </w:r>
      <w:bookmarkEnd w:id="0"/>
    </w:p>
    <w:p w:rsidR="004D585F" w:rsidRDefault="004D585F" w:rsidP="004D585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D585F" w:rsidRPr="009C5E28" w:rsidTr="009F1029">
        <w:tc>
          <w:tcPr>
            <w:tcW w:w="9322" w:type="dxa"/>
            <w:gridSpan w:val="9"/>
            <w:shd w:val="clear" w:color="auto" w:fill="4F81BD"/>
            <w:vAlign w:val="center"/>
          </w:tcPr>
          <w:p w:rsidR="004D585F" w:rsidRPr="009C5E28" w:rsidRDefault="004D585F" w:rsidP="009F1029">
            <w:pPr>
              <w:spacing w:after="0"/>
              <w:jc w:val="center"/>
              <w:rPr>
                <w:b/>
                <w:bCs/>
              </w:rPr>
            </w:pPr>
            <w:r w:rsidRPr="009C5E28">
              <w:rPr>
                <w:b/>
                <w:bCs/>
              </w:rPr>
              <w:t>Gefahrenstoffe</w:t>
            </w:r>
          </w:p>
        </w:tc>
      </w:tr>
      <w:tr w:rsidR="004D585F" w:rsidRPr="009C5E28" w:rsidTr="009F10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D585F" w:rsidRPr="00B13EDF" w:rsidRDefault="004D585F" w:rsidP="009F1029">
            <w:pPr>
              <w:spacing w:after="0" w:line="276" w:lineRule="auto"/>
              <w:jc w:val="center"/>
              <w:rPr>
                <w:b/>
                <w:bCs/>
              </w:rPr>
            </w:pPr>
            <w:r>
              <w:t>Kupfer(II)-</w:t>
            </w:r>
            <w:proofErr w:type="spellStart"/>
            <w:r>
              <w:t>sulfat</w:t>
            </w:r>
            <w:proofErr w:type="spellEnd"/>
            <w:r>
              <w:t xml:space="preserve"> </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4D585F" w:rsidRPr="00B13EDF" w:rsidRDefault="004D585F" w:rsidP="009F1029">
            <w:pPr>
              <w:spacing w:after="0"/>
              <w:jc w:val="center"/>
            </w:pPr>
            <w:r w:rsidRPr="00B13EDF">
              <w:t xml:space="preserve">H: </w:t>
            </w:r>
            <w:r>
              <w:t>302-319-315-402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D585F" w:rsidRPr="00B13EDF" w:rsidRDefault="004D585F" w:rsidP="009F1029">
            <w:pPr>
              <w:spacing w:after="0"/>
              <w:jc w:val="center"/>
            </w:pPr>
            <w:r w:rsidRPr="00B13EDF">
              <w:t xml:space="preserve">P: </w:t>
            </w:r>
            <w:r>
              <w:t>273-302+352-305+351+338</w:t>
            </w:r>
          </w:p>
        </w:tc>
      </w:tr>
      <w:tr w:rsidR="004D585F" w:rsidRPr="009C5E28" w:rsidTr="009F1029">
        <w:trPr>
          <w:trHeight w:val="434"/>
        </w:trPr>
        <w:tc>
          <w:tcPr>
            <w:tcW w:w="3027" w:type="dxa"/>
            <w:gridSpan w:val="3"/>
            <w:shd w:val="clear" w:color="auto" w:fill="auto"/>
            <w:vAlign w:val="center"/>
          </w:tcPr>
          <w:p w:rsidR="004D585F" w:rsidRPr="00B13EDF" w:rsidRDefault="004D585F" w:rsidP="009F1029">
            <w:pPr>
              <w:spacing w:after="0" w:line="276" w:lineRule="auto"/>
              <w:jc w:val="center"/>
              <w:rPr>
                <w:bCs/>
              </w:rPr>
            </w:pPr>
            <w:r>
              <w:rPr>
                <w:color w:val="auto"/>
              </w:rPr>
              <w:t>Zinkpulver</w:t>
            </w:r>
          </w:p>
        </w:tc>
        <w:tc>
          <w:tcPr>
            <w:tcW w:w="3177" w:type="dxa"/>
            <w:gridSpan w:val="3"/>
            <w:shd w:val="clear" w:color="auto" w:fill="auto"/>
            <w:vAlign w:val="center"/>
          </w:tcPr>
          <w:p w:rsidR="004D585F" w:rsidRPr="00B13EDF" w:rsidRDefault="004D585F" w:rsidP="009F1029">
            <w:pPr>
              <w:pStyle w:val="Beschriftung"/>
              <w:spacing w:after="0"/>
              <w:jc w:val="center"/>
              <w:rPr>
                <w:sz w:val="22"/>
                <w:szCs w:val="22"/>
              </w:rPr>
            </w:pPr>
            <w:r w:rsidRPr="00B13EDF">
              <w:rPr>
                <w:sz w:val="22"/>
                <w:szCs w:val="22"/>
              </w:rPr>
              <w:t xml:space="preserve">H: </w:t>
            </w:r>
            <w:r>
              <w:rPr>
                <w:sz w:val="22"/>
                <w:szCs w:val="22"/>
              </w:rPr>
              <w:t>260-250-410</w:t>
            </w:r>
          </w:p>
        </w:tc>
        <w:tc>
          <w:tcPr>
            <w:tcW w:w="3118" w:type="dxa"/>
            <w:gridSpan w:val="3"/>
            <w:shd w:val="clear" w:color="auto" w:fill="auto"/>
            <w:vAlign w:val="center"/>
          </w:tcPr>
          <w:p w:rsidR="004D585F" w:rsidRPr="00B13EDF" w:rsidRDefault="004D585F" w:rsidP="009F1029">
            <w:pPr>
              <w:pStyle w:val="Beschriftung"/>
              <w:spacing w:after="0"/>
              <w:jc w:val="center"/>
              <w:rPr>
                <w:sz w:val="22"/>
                <w:szCs w:val="22"/>
              </w:rPr>
            </w:pPr>
            <w:r w:rsidRPr="00B13EDF">
              <w:rPr>
                <w:sz w:val="22"/>
                <w:szCs w:val="22"/>
              </w:rPr>
              <w:t xml:space="preserve">P: </w:t>
            </w:r>
            <w:r>
              <w:rPr>
                <w:sz w:val="22"/>
                <w:szCs w:val="22"/>
              </w:rPr>
              <w:t>222-223-231+232-273-370+378-422</w:t>
            </w:r>
          </w:p>
        </w:tc>
      </w:tr>
      <w:tr w:rsidR="004D585F" w:rsidRPr="009C5E28" w:rsidTr="009F1029">
        <w:tc>
          <w:tcPr>
            <w:tcW w:w="1009" w:type="dxa"/>
            <w:tcBorders>
              <w:top w:val="single" w:sz="8" w:space="0" w:color="4F81BD"/>
              <w:left w:val="single" w:sz="8" w:space="0" w:color="4F81BD"/>
              <w:bottom w:val="single" w:sz="8" w:space="0" w:color="4F81BD"/>
            </w:tcBorders>
            <w:shd w:val="clear" w:color="auto" w:fill="auto"/>
            <w:vAlign w:val="center"/>
          </w:tcPr>
          <w:p w:rsidR="004D585F" w:rsidRPr="009C5E28" w:rsidRDefault="004D585F" w:rsidP="009F1029">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825" cy="504825"/>
                  <wp:effectExtent l="19050" t="0" r="9525" b="0"/>
                  <wp:docPr id="16" name="Grafik 1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11175" cy="511175"/>
                  <wp:effectExtent l="0" t="0" r="0"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D585F" w:rsidRPr="009C5E28" w:rsidRDefault="004D585F" w:rsidP="009F1029">
            <w:pPr>
              <w:spacing w:after="0"/>
              <w:jc w:val="center"/>
            </w:pPr>
            <w:r>
              <w:rPr>
                <w:noProof/>
                <w:lang w:eastAsia="de-DE"/>
              </w:rPr>
              <w:drawing>
                <wp:inline distT="0" distB="0" distL="0" distR="0">
                  <wp:extent cx="552450" cy="552450"/>
                  <wp:effectExtent l="19050" t="0" r="0" b="0"/>
                  <wp:docPr id="15" name="Grafik 14"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54261" cy="554261"/>
                          </a:xfrm>
                          <a:prstGeom prst="rect">
                            <a:avLst/>
                          </a:prstGeom>
                        </pic:spPr>
                      </pic:pic>
                    </a:graphicData>
                  </a:graphic>
                </wp:inline>
              </w:drawing>
            </w:r>
          </w:p>
        </w:tc>
      </w:tr>
    </w:tbl>
    <w:p w:rsidR="004D585F" w:rsidRDefault="004D585F" w:rsidP="004D585F">
      <w:pPr>
        <w:tabs>
          <w:tab w:val="left" w:pos="1701"/>
          <w:tab w:val="left" w:pos="1985"/>
        </w:tabs>
        <w:ind w:left="1980" w:hanging="1980"/>
      </w:pPr>
    </w:p>
    <w:p w:rsidR="004D585F" w:rsidRDefault="004D585F" w:rsidP="004D585F">
      <w:pPr>
        <w:tabs>
          <w:tab w:val="left" w:pos="1701"/>
          <w:tab w:val="left" w:pos="1985"/>
        </w:tabs>
        <w:ind w:left="1980" w:hanging="1980"/>
      </w:pPr>
      <w:r>
        <w:t xml:space="preserve">Materialien: </w:t>
      </w:r>
      <w:r>
        <w:tab/>
      </w:r>
      <w:r>
        <w:tab/>
      </w:r>
      <w:proofErr w:type="spellStart"/>
      <w:r>
        <w:t>Styroporkalorimeter</w:t>
      </w:r>
      <w:proofErr w:type="spellEnd"/>
      <w:r>
        <w:t>, digitales Thermometer, Messzylinder, Stativ mit St</w:t>
      </w:r>
      <w:r>
        <w:t>a</w:t>
      </w:r>
      <w:r>
        <w:t>tivmaterial</w:t>
      </w:r>
    </w:p>
    <w:p w:rsidR="004D585F" w:rsidRPr="00ED07C2" w:rsidRDefault="004D585F" w:rsidP="004D585F">
      <w:pPr>
        <w:tabs>
          <w:tab w:val="left" w:pos="1701"/>
          <w:tab w:val="left" w:pos="1985"/>
        </w:tabs>
        <w:ind w:left="1980" w:hanging="1980"/>
      </w:pPr>
      <w:r>
        <w:t>Chemikalien:</w:t>
      </w:r>
      <w:r>
        <w:tab/>
      </w:r>
      <w:r>
        <w:tab/>
        <w:t>Kupfer(II)</w:t>
      </w:r>
      <w:proofErr w:type="spellStart"/>
      <w:r>
        <w:t>sulfat-Pentahydrat</w:t>
      </w:r>
      <w:proofErr w:type="spellEnd"/>
      <w:r>
        <w:t xml:space="preserve">, Zinkpulver, </w:t>
      </w:r>
      <w:proofErr w:type="spellStart"/>
      <w:r>
        <w:t>destillierstes</w:t>
      </w:r>
      <w:proofErr w:type="spellEnd"/>
      <w:r>
        <w:t xml:space="preserve"> Wasser</w:t>
      </w:r>
    </w:p>
    <w:p w:rsidR="004D585F" w:rsidRPr="00D85D1B" w:rsidRDefault="004D585F" w:rsidP="004D585F">
      <w:pPr>
        <w:tabs>
          <w:tab w:val="left" w:pos="1701"/>
          <w:tab w:val="left" w:pos="1985"/>
        </w:tabs>
        <w:ind w:left="1980" w:hanging="1980"/>
      </w:pPr>
      <w:r>
        <w:t xml:space="preserve">Durchführung: </w:t>
      </w:r>
      <w:r>
        <w:tab/>
      </w:r>
      <w:r>
        <w:tab/>
      </w:r>
      <w:r>
        <w:tab/>
        <w:t>In einem Becherglas werden 5 g Kupfer(II)-</w:t>
      </w:r>
      <w:proofErr w:type="spellStart"/>
      <w:r>
        <w:t>sulfat-Pentahydrat</w:t>
      </w:r>
      <w:proofErr w:type="spellEnd"/>
      <w:r>
        <w:t xml:space="preserve"> in 200 </w:t>
      </w:r>
      <w:proofErr w:type="spellStart"/>
      <w:r>
        <w:t>mL</w:t>
      </w:r>
      <w:proofErr w:type="spellEnd"/>
      <w:r>
        <w:t xml:space="preserve"> destilliertem Wasser gelöst. Die homogene Lösung wird in das Kunststoff-Becherglas des </w:t>
      </w:r>
      <w:proofErr w:type="spellStart"/>
      <w:r>
        <w:t>Styroporkalorimeters</w:t>
      </w:r>
      <w:proofErr w:type="spellEnd"/>
      <w:r>
        <w:t xml:space="preserve"> gefüllt und in dieses gestellt. Die Anfangstemperatur T</w:t>
      </w:r>
      <w:r>
        <w:rPr>
          <w:vertAlign w:val="subscript"/>
        </w:rPr>
        <w:t xml:space="preserve">0  </w:t>
      </w:r>
      <w:r>
        <w:t>wird gemessen. Anschließend werden 3 g Zink hinz</w:t>
      </w:r>
      <w:r>
        <w:t>u</w:t>
      </w:r>
      <w:r>
        <w:t>gefügt und das Stoffgemisch umgerührt. Im Abstand von jeweils 1 Minute wird die Temperatur abgelesen bis diese nicht mehr steigt. Die Endtemp</w:t>
      </w:r>
      <w:r>
        <w:t>e</w:t>
      </w:r>
      <w:r>
        <w:t>ratur T</w:t>
      </w:r>
      <w:r>
        <w:rPr>
          <w:vertAlign w:val="subscript"/>
        </w:rPr>
        <w:t xml:space="preserve">1 </w:t>
      </w:r>
      <w:r>
        <w:t xml:space="preserve">wird notiert. </w:t>
      </w:r>
    </w:p>
    <w:p w:rsidR="004D585F" w:rsidRDefault="004D585F" w:rsidP="004D585F">
      <w:pPr>
        <w:tabs>
          <w:tab w:val="left" w:pos="1701"/>
          <w:tab w:val="left" w:pos="1985"/>
        </w:tabs>
        <w:ind w:left="1980" w:hanging="1980"/>
      </w:pPr>
      <w:r>
        <w:t>Beobachtung:</w:t>
      </w:r>
      <w:r>
        <w:tab/>
      </w:r>
      <w:r>
        <w:tab/>
      </w:r>
      <w:r>
        <w:tab/>
        <w:t>Nach Zugabe des Zinks hat die vorher blaue Lösung eine schlammig graue Farbe. T</w:t>
      </w:r>
      <w:r>
        <w:rPr>
          <w:vertAlign w:val="subscript"/>
        </w:rPr>
        <w:t xml:space="preserve">0 </w:t>
      </w:r>
      <w:r>
        <w:t>beträgt 19,5°C, ‚T</w:t>
      </w:r>
      <w:r>
        <w:rPr>
          <w:vertAlign w:val="subscript"/>
        </w:rPr>
        <w:t xml:space="preserve">1 </w:t>
      </w:r>
      <w:r>
        <w:t xml:space="preserve">24,1°C. </w:t>
      </w: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r>
        <w:rPr>
          <w:noProof/>
          <w:lang w:eastAsia="de-DE"/>
        </w:rPr>
        <w:lastRenderedPageBreak/>
        <w:drawing>
          <wp:anchor distT="0" distB="0" distL="114300" distR="114300" simplePos="0" relativeHeight="251661312" behindDoc="1" locked="0" layoutInCell="1" allowOverlap="1">
            <wp:simplePos x="0" y="0"/>
            <wp:positionH relativeFrom="column">
              <wp:posOffset>2186305</wp:posOffset>
            </wp:positionH>
            <wp:positionV relativeFrom="paragraph">
              <wp:posOffset>-185420</wp:posOffset>
            </wp:positionV>
            <wp:extent cx="1934210" cy="2543175"/>
            <wp:effectExtent l="19050" t="0" r="8890" b="0"/>
            <wp:wrapTight wrapText="bothSides">
              <wp:wrapPolygon edited="0">
                <wp:start x="-213" y="0"/>
                <wp:lineTo x="-213" y="21519"/>
                <wp:lineTo x="21699" y="21519"/>
                <wp:lineTo x="21699" y="0"/>
                <wp:lineTo x="-213" y="0"/>
              </wp:wrapPolygon>
            </wp:wrapTight>
            <wp:docPr id="80" name="Grafik 73" descr="IMG_2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7.JPG"/>
                    <pic:cNvPicPr/>
                  </pic:nvPicPr>
                  <pic:blipFill>
                    <a:blip r:embed="rId14" cstate="print"/>
                    <a:srcRect/>
                    <a:stretch>
                      <a:fillRect/>
                    </a:stretch>
                  </pic:blipFill>
                  <pic:spPr>
                    <a:xfrm>
                      <a:off x="0" y="0"/>
                      <a:ext cx="1934210" cy="2543175"/>
                    </a:xfrm>
                    <a:prstGeom prst="rect">
                      <a:avLst/>
                    </a:prstGeom>
                  </pic:spPr>
                </pic:pic>
              </a:graphicData>
            </a:graphic>
          </wp:anchor>
        </w:drawing>
      </w: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p>
    <w:p w:rsidR="004D585F" w:rsidRDefault="004D585F" w:rsidP="004D585F">
      <w:pPr>
        <w:pStyle w:val="Beschriftung"/>
        <w:jc w:val="left"/>
      </w:pPr>
      <w:r>
        <w:t xml:space="preserve">Abb. 5- </w:t>
      </w:r>
      <w:r>
        <w:rPr>
          <w:noProof/>
        </w:rPr>
        <w:t xml:space="preserve"> Zugabe des Zinkpulvers zur Kupfer(II)sulfat-Lösung</w:t>
      </w:r>
    </w:p>
    <w:p w:rsidR="004D585F" w:rsidRDefault="004D585F" w:rsidP="004D585F">
      <w:pPr>
        <w:tabs>
          <w:tab w:val="left" w:pos="1701"/>
          <w:tab w:val="left" w:pos="1985"/>
        </w:tabs>
        <w:ind w:left="2124" w:hanging="2124"/>
      </w:pPr>
      <w:r>
        <w:t>Deutung:</w:t>
      </w:r>
      <w:r>
        <w:tab/>
      </w:r>
      <w:r>
        <w:tab/>
      </w:r>
      <w:r>
        <w:tab/>
        <w:t>Es läuft folgende Reaktion ab:</w:t>
      </w:r>
    </w:p>
    <w:p w:rsidR="004D585F" w:rsidRDefault="004D585F" w:rsidP="004D585F">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Cu</m:t>
                  </m:r>
                </m:e>
                <m:sup>
                  <m:r>
                    <m:rPr>
                      <m:sty m:val="p"/>
                    </m:rPr>
                    <w:rPr>
                      <w:rFonts w:ascii="Cambria Math" w:eastAsiaTheme="minorEastAsia" w:hAnsi="Cambria Math"/>
                    </w:rPr>
                    <m:t>2+</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Zn</m:t>
              </m:r>
            </m:e>
            <m:sub>
              <m:r>
                <m:rPr>
                  <m:sty m:val="p"/>
                </m:rPr>
                <w:rPr>
                  <w:rFonts w:ascii="Cambria Math" w:eastAsiaTheme="minorEastAsia"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Zn</m:t>
                  </m:r>
                </m:e>
                <m:sup>
                  <m:r>
                    <m:rPr>
                      <m:sty m:val="p"/>
                    </m:rPr>
                    <w:rPr>
                      <w:rFonts w:ascii="Cambria Math" w:eastAsiaTheme="minorEastAsia" w:hAnsi="Cambria Math"/>
                    </w:rPr>
                    <m:t>2+</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Cu</m:t>
              </m:r>
            </m:e>
            <m:sub>
              <m:r>
                <m:rPr>
                  <m:sty m:val="p"/>
                </m:rPr>
                <w:rPr>
                  <w:rFonts w:ascii="Cambria Math" w:eastAsiaTheme="minorEastAsia" w:hAnsi="Cambria Math"/>
                </w:rPr>
                <m:t>(s)</m:t>
              </m:r>
            </m:sub>
          </m:sSub>
        </m:oMath>
      </m:oMathPara>
    </w:p>
    <w:p w:rsidR="004D585F" w:rsidRDefault="004D585F" w:rsidP="004D585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 die Temperatur steigt, handelt es sich um eine exotherme Reaktion. Die Temperaturdifferenz beträgt:</w:t>
      </w:r>
    </w:p>
    <w:p w:rsidR="004D585F" w:rsidRDefault="004D585F" w:rsidP="004D585F">
      <w:pPr>
        <w:tabs>
          <w:tab w:val="left" w:pos="1701"/>
          <w:tab w:val="left" w:pos="1985"/>
        </w:tabs>
        <w:ind w:left="2124" w:hanging="2124"/>
        <w:rPr>
          <w:rFonts w:eastAsiaTheme="minorEastAsia"/>
        </w:rPr>
      </w:pPr>
      <m:oMathPara>
        <m:oMath>
          <m:r>
            <m:rPr>
              <m:sty m:val="p"/>
            </m:rPr>
            <w:rPr>
              <w:rFonts w:ascii="Cambria Math" w:eastAsiaTheme="minorEastAsia" w:hAnsi="Cambria Math"/>
            </w:rPr>
            <m:t>∆T=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0</m:t>
              </m:r>
            </m:sub>
          </m:sSub>
          <m:r>
            <m:rPr>
              <m:sty m:val="p"/>
            </m:rPr>
            <w:rPr>
              <w:rFonts w:ascii="Cambria Math" w:eastAsiaTheme="minorEastAsia" w:hAnsi="Cambria Math"/>
            </w:rPr>
            <m:t>=297,25 K-292,65 K=4,6 K</m:t>
          </m:r>
        </m:oMath>
      </m:oMathPara>
    </w:p>
    <w:p w:rsidR="004D585F" w:rsidRDefault="004D585F" w:rsidP="004D585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Zur Berechnung der molaren Reaktionsenthalpie wird folgende Formel verwendet:</w:t>
      </w:r>
    </w:p>
    <w:p w:rsidR="004D585F" w:rsidRDefault="004D585F" w:rsidP="004D585F">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-[((m</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Zn</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+C]∙∆T</m:t>
              </m:r>
            </m:num>
            <m:den>
              <m:r>
                <m:rPr>
                  <m:sty m:val="p"/>
                </m:rPr>
                <w:rPr>
                  <w:rFonts w:ascii="Cambria Math" w:eastAsiaTheme="minorEastAsia" w:hAnsi="Cambria Math"/>
                </w:rPr>
                <m:t>n(CuS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den>
          </m:f>
        </m:oMath>
      </m:oMathPara>
    </w:p>
    <w:p w:rsidR="004D585F" w:rsidRDefault="004D585F" w:rsidP="004D585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Messgrößen: </w:t>
      </w:r>
      <m:oMath>
        <m:r>
          <m:rPr>
            <m:sty m:val="p"/>
          </m:rPr>
          <w:rPr>
            <w:rFonts w:ascii="Cambria Math" w:eastAsiaTheme="minorEastAsia" w:hAnsi="Cambria Math"/>
          </w:rPr>
          <m:t>m</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=200 g</m:t>
        </m:r>
      </m:oMath>
      <w:r w:rsidRPr="003F343B">
        <w:rPr>
          <w:rFonts w:eastAsiaTheme="minorEastAsia"/>
        </w:rPr>
        <w:t xml:space="preserve">; </w:t>
      </w:r>
      <m:oMath>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=5 g</m:t>
        </m:r>
      </m:oMath>
      <w:r w:rsidRPr="003F343B">
        <w:rPr>
          <w:rFonts w:eastAsiaTheme="minorEastAsia"/>
        </w:rPr>
        <w:t xml:space="preserve">; </w:t>
      </w:r>
      <m:oMath>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Zn</m:t>
            </m:r>
          </m:e>
        </m:d>
        <m:r>
          <w:rPr>
            <w:rFonts w:ascii="Cambria Math" w:eastAsiaTheme="minorEastAsia" w:hAnsi="Cambria Math"/>
          </w:rPr>
          <m:t>=</m:t>
        </m:r>
      </m:oMath>
      <w:r w:rsidRPr="003F343B">
        <w:rPr>
          <w:rFonts w:eastAsiaTheme="minorEastAsia"/>
        </w:rPr>
        <w:t xml:space="preserve"> 3 g; </w:t>
      </w:r>
      <m:oMath>
        <m:r>
          <m:rPr>
            <m:sty m:val="p"/>
          </m:rPr>
          <w:rPr>
            <w:rFonts w:ascii="Cambria Math" w:eastAsiaTheme="minorEastAsia" w:hAnsi="Cambria Math"/>
          </w:rPr>
          <m:t>n</m:t>
        </m:r>
        <m:d>
          <m:dPr>
            <m:ctrlPr>
              <w:rPr>
                <w:rFonts w:ascii="Cambria Math" w:eastAsiaTheme="minorEastAsia" w:hAnsi="Cambria Math"/>
              </w:rPr>
            </m:ctrlPr>
          </m:dPr>
          <m:e>
            <m:r>
              <m:rPr>
                <m:sty m:val="p"/>
              </m:rPr>
              <w:rPr>
                <w:rFonts w:ascii="Cambria Math" w:eastAsiaTheme="minorEastAsia" w:hAnsi="Cambria Math"/>
              </w:rPr>
              <m:t>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m:t>
        </m:r>
      </m:oMath>
      <w:r w:rsidRPr="003F343B">
        <w:rPr>
          <w:rFonts w:eastAsiaTheme="minorEastAsia"/>
        </w:rPr>
        <w:t>0,02 mol; Wärme</w:t>
      </w:r>
      <w:r>
        <w:rPr>
          <w:rFonts w:eastAsiaTheme="minorEastAsia"/>
        </w:rPr>
        <w:t xml:space="preserve">kapazität des </w:t>
      </w:r>
      <w:proofErr w:type="spellStart"/>
      <w:r>
        <w:rPr>
          <w:rFonts w:eastAsiaTheme="minorEastAsia"/>
        </w:rPr>
        <w:t>Styroporkalorimeters</w:t>
      </w:r>
      <w:proofErr w:type="spellEnd"/>
      <w:r w:rsidRPr="003F343B">
        <w:rPr>
          <w:rFonts w:eastAsiaTheme="minorEastAsia"/>
        </w:rPr>
        <w:t xml:space="preserve"> </w:t>
      </w:r>
      <m:oMath>
        <m:r>
          <m:rPr>
            <m:sty m:val="p"/>
          </m:rPr>
          <w:rPr>
            <w:rFonts w:ascii="Cambria Math" w:eastAsiaTheme="minorEastAsia" w:hAnsi="Cambria Math"/>
          </w:rPr>
          <m:t>C=70</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K</m:t>
            </m:r>
          </m:den>
        </m:f>
      </m:oMath>
      <w:r>
        <w:rPr>
          <w:rFonts w:eastAsiaTheme="minorEastAsia"/>
        </w:rPr>
        <w:t xml:space="preserve">; spezifische Wärmekapazität des Wassers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 xml:space="preserve">=4,19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oMath>
    </w:p>
    <w:p w:rsidR="004D585F" w:rsidRDefault="004D585F" w:rsidP="004D585F">
      <w:pPr>
        <w:tabs>
          <w:tab w:val="left" w:pos="1701"/>
          <w:tab w:val="left" w:pos="1985"/>
          <w:tab w:val="left" w:pos="2124"/>
          <w:tab w:val="left" w:pos="2832"/>
          <w:tab w:val="left" w:pos="3705"/>
        </w:tabs>
        <w:ind w:left="2124" w:hanging="2124"/>
        <w:rPr>
          <w:rFonts w:eastAsiaTheme="minorEastAsia"/>
        </w:rPr>
      </w:pPr>
      <w:r>
        <w:rPr>
          <w:rFonts w:eastAsiaTheme="minorEastAsia"/>
        </w:rPr>
        <w:tab/>
      </w:r>
      <w:r>
        <w:rPr>
          <w:rFonts w:eastAsiaTheme="minorEastAsia"/>
        </w:rPr>
        <w:tab/>
      </w:r>
      <w:r>
        <w:rPr>
          <w:rFonts w:eastAsiaTheme="minorEastAsia"/>
        </w:rPr>
        <w:tab/>
        <w:t xml:space="preserve">Es folgt </w:t>
      </w:r>
      <w:proofErr w:type="gramStart"/>
      <w:r>
        <w:rPr>
          <w:rFonts w:eastAsiaTheme="minorEastAsia"/>
        </w:rPr>
        <w:t xml:space="preserve">für  </w:t>
      </w:r>
      <m:oMath>
        <w:proofErr w:type="gramEnd"/>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oMath>
      <w:r>
        <w:rPr>
          <w:rFonts w:eastAsiaTheme="minorEastAsia"/>
        </w:rPr>
        <w:t>:</w:t>
      </w:r>
    </w:p>
    <w:p w:rsidR="004D585F" w:rsidRDefault="004D585F" w:rsidP="004D585F">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-[((200 g+5 g+3 g)∙4,19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+70</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K</m:t>
                  </m:r>
                </m:den>
              </m:f>
              <m:r>
                <m:rPr>
                  <m:sty m:val="p"/>
                </m:rPr>
                <w:rPr>
                  <w:rFonts w:ascii="Cambria Math" w:eastAsiaTheme="minorEastAsia" w:hAnsi="Cambria Math"/>
                </w:rPr>
                <m:t>]∙4,6 K</m:t>
              </m:r>
            </m:num>
            <m:den>
              <m:r>
                <m:rPr>
                  <m:sty m:val="p"/>
                </m:rPr>
                <w:rPr>
                  <w:rFonts w:ascii="Cambria Math" w:eastAsiaTheme="minorEastAsia" w:hAnsi="Cambria Math"/>
                </w:rPr>
                <m:t>0,02 mol</m:t>
              </m:r>
            </m:den>
          </m:f>
          <m:r>
            <m:rPr>
              <m:sty m:val="p"/>
            </m:rPr>
            <w:rPr>
              <w:rFonts w:ascii="Cambria Math" w:eastAsiaTheme="minorEastAsia" w:hAnsi="Cambria Math"/>
            </w:rPr>
            <m:t xml:space="preserve">=-216549,6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=-216,55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4D585F" w:rsidRDefault="004D585F" w:rsidP="004D585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Da es sich um eine exotherme Reaktion handelt, muss </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&lt;</m:t>
        </m:r>
        <m:r>
          <w:rPr>
            <w:rFonts w:ascii="Cambria Math" w:eastAsiaTheme="minorEastAsia" w:hAnsi="Cambria Math"/>
          </w:rPr>
          <m:t>0</m:t>
        </m:r>
      </m:oMath>
      <w:r>
        <w:rPr>
          <w:rFonts w:eastAsiaTheme="minorEastAsia"/>
        </w:rPr>
        <w:t xml:space="preserve"> sein, daher beträgt die molare Reaktionsenthalpie der Reaktion von Kupfer(II)-Ionen mit Zink -</w:t>
      </w:r>
      <w:proofErr w:type="gramStart"/>
      <w:r>
        <w:rPr>
          <w:rFonts w:eastAsiaTheme="minorEastAsia"/>
        </w:rPr>
        <w:t xml:space="preserve">216,55 </w:t>
      </w:r>
      <m:oMath>
        <w:proofErr w:type="gramEnd"/>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r>
        <w:rPr>
          <w:rFonts w:eastAsiaTheme="minorEastAsia"/>
        </w:rPr>
        <w:t>.</w:t>
      </w:r>
      <w:r w:rsidRPr="003F343B">
        <w:rPr>
          <w:rFonts w:eastAsiaTheme="minorEastAsia"/>
        </w:rPr>
        <w:tab/>
      </w:r>
    </w:p>
    <w:p w:rsidR="004D585F" w:rsidRDefault="004D585F" w:rsidP="004D585F">
      <w:pPr>
        <w:ind w:left="2124"/>
        <w:jc w:val="left"/>
        <w:rPr>
          <w:rFonts w:eastAsiaTheme="minorEastAsia"/>
        </w:rPr>
      </w:pPr>
      <w:r>
        <w:rPr>
          <w:rFonts w:eastAsiaTheme="minorEastAsia"/>
        </w:rPr>
        <w:lastRenderedPageBreak/>
        <w:t>Vergleich mit Literaturwerten:</w:t>
      </w:r>
    </w:p>
    <w:p w:rsidR="004D585F" w:rsidRDefault="004D585F" w:rsidP="004D585F">
      <w:pPr>
        <w:tabs>
          <w:tab w:val="left" w:pos="8265"/>
        </w:tabs>
        <w:ind w:left="2124"/>
        <w:jc w:val="left"/>
        <w:rPr>
          <w:rFonts w:eastAsiaTheme="minorEastAsia"/>
        </w:rPr>
      </w:pPr>
      <w:r>
        <w:rPr>
          <w:rFonts w:eastAsiaTheme="minorEastAsia"/>
        </w:rPr>
        <w:t xml:space="preserve">Reaktionsenthalpie: </w:t>
      </w:r>
      <m:oMath>
        <m:r>
          <m:rPr>
            <m:sty m:val="p"/>
          </m:rPr>
          <w:rPr>
            <w:rFonts w:ascii="Cambria Math" w:eastAsiaTheme="minorEastAsia" w:hAnsi="Cambria Math"/>
          </w:rPr>
          <m:t xml:space="preserve">-218,66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4D585F" w:rsidRDefault="004D585F" w:rsidP="004D585F">
      <w:pPr>
        <w:tabs>
          <w:tab w:val="left" w:pos="8265"/>
        </w:tabs>
        <w:ind w:left="2124"/>
        <w:jc w:val="left"/>
        <w:rPr>
          <w:rFonts w:eastAsiaTheme="minorEastAsia"/>
        </w:rPr>
      </w:pPr>
      <w:r>
        <w:rPr>
          <w:rFonts w:eastAsiaTheme="minorEastAsia"/>
        </w:rPr>
        <w:t xml:space="preserve">[berechnet aus: P.W. Atkins, </w:t>
      </w:r>
      <w:r>
        <w:rPr>
          <w:rFonts w:eastAsiaTheme="minorEastAsia"/>
          <w:i/>
        </w:rPr>
        <w:t>Kurzlehrbuch Physikalische Chemie</w:t>
      </w:r>
      <w:r>
        <w:rPr>
          <w:rFonts w:eastAsiaTheme="minorEastAsia"/>
        </w:rPr>
        <w:t>, WILEY-VCH, 4. Auflage, 2008, S. 1084/1086.]</w:t>
      </w:r>
    </w:p>
    <w:p w:rsidR="004D585F" w:rsidRDefault="004D585F" w:rsidP="004D585F">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-216,55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-218,66</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=2,11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4D585F" w:rsidRDefault="004D585F" w:rsidP="004D585F">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2,111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-216,55</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-0,0097</m:t>
              </m:r>
            </m:e>
          </m:d>
          <m:r>
            <m:rPr>
              <m:sty m:val="p"/>
            </m:rPr>
            <w:rPr>
              <w:rFonts w:ascii="Cambria Math" w:eastAsiaTheme="minorEastAsia" w:hAnsi="Cambria Math"/>
            </w:rPr>
            <m:t>=0,97%</m:t>
          </m:r>
        </m:oMath>
      </m:oMathPara>
    </w:p>
    <w:p w:rsidR="004D585F" w:rsidRPr="003F343B" w:rsidRDefault="004D585F" w:rsidP="004D585F">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Der Abweichung zum Literaturwert ist minimal, die Bestimmung der Reaktionsenthalpie mit diesem Versuch funktioniert also sehr gut.</w:t>
      </w:r>
    </w:p>
    <w:p w:rsidR="004D585F" w:rsidRDefault="004D585F" w:rsidP="004D585F">
      <w:pPr>
        <w:spacing w:line="276" w:lineRule="auto"/>
        <w:ind w:left="2124" w:hanging="2124"/>
        <w:jc w:val="left"/>
      </w:pPr>
      <w:r>
        <w:t>Entsorgung:</w:t>
      </w:r>
      <w:r>
        <w:tab/>
        <w:t>Die Lösung wird mit Natronlauge versetzt und der entstehende Niede</w:t>
      </w:r>
      <w:r>
        <w:t>r</w:t>
      </w:r>
      <w:r>
        <w:t>schlag im Behälter für Schwermetalle entsorgt.</w:t>
      </w:r>
    </w:p>
    <w:p w:rsidR="004D585F" w:rsidRDefault="004D585F" w:rsidP="004D585F">
      <w:pPr>
        <w:spacing w:line="276" w:lineRule="auto"/>
        <w:ind w:left="2124" w:hanging="2124"/>
        <w:jc w:val="left"/>
      </w:pPr>
      <w:r>
        <w:t>Literatur:</w:t>
      </w:r>
      <w:r>
        <w:tab/>
        <w:t xml:space="preserve">H. </w:t>
      </w:r>
      <w:proofErr w:type="spellStart"/>
      <w:r>
        <w:t>Keune</w:t>
      </w:r>
      <w:proofErr w:type="spellEnd"/>
      <w:r>
        <w:t xml:space="preserve">, H. </w:t>
      </w:r>
      <w:proofErr w:type="spellStart"/>
      <w:r>
        <w:t>Böhland</w:t>
      </w:r>
      <w:proofErr w:type="spellEnd"/>
      <w:r>
        <w:t xml:space="preserve">, </w:t>
      </w:r>
      <w:r>
        <w:rPr>
          <w:i/>
        </w:rPr>
        <w:t xml:space="preserve">Chemische Schulexperimente Band 3: Allgemeine, physikalische und analytische Chemie; Chemie und Umwelt, </w:t>
      </w:r>
      <w:r>
        <w:t>Volk und Wi</w:t>
      </w:r>
      <w:r>
        <w:t>s</w:t>
      </w:r>
      <w:r>
        <w:t>sen Verlag, 2002, S. 141-142.</w:t>
      </w:r>
    </w:p>
    <w:p w:rsidR="004D585F" w:rsidRPr="00A31178" w:rsidRDefault="004D585F" w:rsidP="004D585F">
      <w:pPr>
        <w:spacing w:line="276" w:lineRule="auto"/>
        <w:ind w:left="2124" w:hanging="2124"/>
        <w:jc w:val="left"/>
        <w:rPr>
          <w:rFonts w:asciiTheme="majorHAnsi" w:eastAsiaTheme="majorEastAsia" w:hAnsiTheme="majorHAnsi" w:cstheme="majorBidi"/>
          <w:b/>
          <w:bCs/>
          <w:sz w:val="28"/>
          <w:szCs w:val="28"/>
        </w:rPr>
      </w:pPr>
    </w:p>
    <w:p w:rsidR="004D585F" w:rsidRPr="006E32AF" w:rsidRDefault="004D585F" w:rsidP="004D585F">
      <w:pPr>
        <w:tabs>
          <w:tab w:val="left" w:pos="1701"/>
          <w:tab w:val="left" w:pos="1985"/>
        </w:tabs>
        <w:ind w:left="1980" w:hanging="1980"/>
        <w:rPr>
          <w:rFonts w:eastAsiaTheme="minorEastAsia"/>
        </w:rPr>
      </w:pPr>
      <w:r w:rsidRPr="00B23CDE">
        <w:pict>
          <v:shape id="_x0000_s1026" type="#_x0000_t202" style="width:462.45pt;height:105.45pt;mso-position-horizontal-relative:char;mso-position-vertical-relative:line;mso-width-relative:margin;mso-height-relative:margin" fillcolor="white [3201]" strokecolor="#c0504d [3205]" strokeweight="1pt">
            <v:stroke dashstyle="dash"/>
            <v:shadow color="#868686"/>
            <v:textbox style="mso-next-textbox:#_x0000_s1026">
              <w:txbxContent>
                <w:p w:rsidR="004D585F" w:rsidRPr="008B2971" w:rsidRDefault="004D585F" w:rsidP="004D585F">
                  <w:pPr>
                    <w:rPr>
                      <w:color w:val="auto"/>
                    </w:rPr>
                  </w:pPr>
                  <w:r w:rsidRPr="008B2971">
                    <w:rPr>
                      <w:color w:val="auto"/>
                    </w:rPr>
                    <w:t>Dieser Versuch veranschaulicht exotherme Reaktionen und lässt sich gut zur Berechnung der Reaktionsenthalpie benutzen. Zur Durchführung des Experiments sind alternativ auch andere Kupfer(II)-Salze geeignet. Laut Literatur soll das Experiment etwa 20 Minuten dauern, diese Zeit schließt die Vorbereitungszeit mit ein, bis zum Erreichen der Endtemperatur sind nur w</w:t>
                  </w:r>
                  <w:r w:rsidRPr="008B2971">
                    <w:rPr>
                      <w:color w:val="auto"/>
                    </w:rPr>
                    <w:t>e</w:t>
                  </w:r>
                  <w:r w:rsidRPr="008B2971">
                    <w:rPr>
                      <w:color w:val="auto"/>
                    </w:rPr>
                    <w:t xml:space="preserve">nige Minuten vergangen. </w:t>
                  </w:r>
                </w:p>
              </w:txbxContent>
            </v:textbox>
            <w10:wrap type="none"/>
            <w10:anchorlock/>
          </v:shape>
        </w:pict>
      </w:r>
    </w:p>
    <w:p w:rsidR="004D585F" w:rsidRPr="00B937A2" w:rsidRDefault="004D585F" w:rsidP="004D585F">
      <w:pPr>
        <w:rPr>
          <w:rFonts w:asciiTheme="majorHAnsi" w:hAnsiTheme="majorHAnsi"/>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85F"/>
    <w:rsid w:val="004C596A"/>
    <w:rsid w:val="004D585F"/>
    <w:rsid w:val="007E763D"/>
    <w:rsid w:val="00982EE1"/>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585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D585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D585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D585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D58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D58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D58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D58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58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58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85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D585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D585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D585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D585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D585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D58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D58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D585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D585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4D58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85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2417</Characters>
  <Application>Microsoft Office Word</Application>
  <DocSecurity>0</DocSecurity>
  <Lines>20</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2</cp:revision>
  <cp:lastPrinted>2014-08-26T17:32:00Z</cp:lastPrinted>
  <dcterms:created xsi:type="dcterms:W3CDTF">2014-08-26T17:29:00Z</dcterms:created>
  <dcterms:modified xsi:type="dcterms:W3CDTF">2014-08-26T17:32:00Z</dcterms:modified>
</cp:coreProperties>
</file>