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35D" w:rsidRDefault="00DF335D" w:rsidP="00DF335D"/>
    <w:p w:rsidR="00DF335D" w:rsidRDefault="00DF335D" w:rsidP="00DF335D">
      <w:pPr>
        <w:pStyle w:val="berschrift2"/>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32.2pt;width:462.45pt;height:217.75pt;z-index:251660288;mso-width-relative:margin;mso-height-relative:margin" fillcolor="white [3201]" strokecolor="#4bacc6 [3208]" strokeweight="1pt">
            <v:stroke dashstyle="dash"/>
            <v:shadow color="#868686"/>
            <v:textbox style="mso-next-textbox:#_x0000_s1027">
              <w:txbxContent>
                <w:p w:rsidR="00DF335D" w:rsidRPr="00C56708" w:rsidRDefault="00DF335D" w:rsidP="00DF335D">
                  <w:pPr>
                    <w:rPr>
                      <w:color w:val="auto"/>
                    </w:rPr>
                  </w:pPr>
                  <w:r w:rsidRPr="00C56708">
                    <w:rPr>
                      <w:color w:val="auto"/>
                    </w:rPr>
                    <w:t>In diesem Versuch findet eine spontane endotherme Reaktion zwischen Natriumcarbonat-</w:t>
                  </w:r>
                  <w:proofErr w:type="spellStart"/>
                  <w:r w:rsidRPr="00C56708">
                    <w:rPr>
                      <w:color w:val="auto"/>
                    </w:rPr>
                    <w:t>decahydrat</w:t>
                  </w:r>
                  <w:proofErr w:type="spellEnd"/>
                  <w:r w:rsidRPr="00C56708">
                    <w:rPr>
                      <w:color w:val="auto"/>
                    </w:rPr>
                    <w:t xml:space="preserve"> und Eisennitrat-</w:t>
                  </w:r>
                  <w:proofErr w:type="spellStart"/>
                  <w:r w:rsidRPr="00C56708">
                    <w:rPr>
                      <w:color w:val="auto"/>
                    </w:rPr>
                    <w:t>nonahydrat</w:t>
                  </w:r>
                  <w:proofErr w:type="spellEnd"/>
                  <w:r w:rsidRPr="00C56708">
                    <w:rPr>
                      <w:color w:val="auto"/>
                    </w:rPr>
                    <w:t xml:space="preserve"> statt. Er zeigt, dass neben der Enthalpie auch die E</w:t>
                  </w:r>
                  <w:r w:rsidRPr="00C56708">
                    <w:rPr>
                      <w:color w:val="auto"/>
                    </w:rPr>
                    <w:t>n</w:t>
                  </w:r>
                  <w:r w:rsidRPr="00C56708">
                    <w:rPr>
                      <w:color w:val="auto"/>
                    </w:rPr>
                    <w:t xml:space="preserve">tropie als treibende Kraft einer Reaktion wirken kann. Mit Hilfe dieses Versuches lässt sich die Gibbs-Helmholtz-Gleichung veranschaulichen, Voraussetzung ist also, dass die Schüler und Schülerinnen den Begriff Entropie bereits als Maß für die Unordnung kennen. Des Weiteren sollten die Bedeutungen und Prinzipien endothermer und exothermer Reaktionen bekannt sein. Auch die Berechnung von der Enthalpie aus Reaktionswärme sollte den Schülern </w:t>
                  </w:r>
                  <w:r>
                    <w:rPr>
                      <w:color w:val="auto"/>
                    </w:rPr>
                    <w:t xml:space="preserve">und Schülerinnen geläufig sein. Hier ist die Auswertung soweit reduziert, dass auf das konkrete Rechnen verzichtet wird, mit den geeigneten Werten die der Literatur entnommen werden können, wäre dies aber möglich. </w:t>
                  </w:r>
                  <w:r w:rsidRPr="00C56708">
                    <w:rPr>
                      <w:color w:val="auto"/>
                    </w:rPr>
                    <w:t xml:space="preserve">Um die Reaktionsgleichungen korrekt aufstellen zu können, ist es darüber hinaus essentiell, dass die Bedeutung des Kristallwassers in Stoffen bekannt ist.  </w:t>
                  </w:r>
                </w:p>
              </w:txbxContent>
            </v:textbox>
            <w10:wrap type="square"/>
          </v:shape>
        </w:pict>
      </w:r>
      <w:bookmarkStart w:id="0" w:name="_Toc396751101"/>
      <w:r>
        <w:t>V 4 – Spontane endotherme Reaktion: Soda und anorganische Substanzen</w:t>
      </w:r>
      <w:bookmarkEnd w:id="0"/>
    </w:p>
    <w:p w:rsidR="00DF335D" w:rsidRDefault="00DF335D" w:rsidP="00DF335D"/>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F335D" w:rsidRPr="009C5E28" w:rsidTr="009F1029">
        <w:tc>
          <w:tcPr>
            <w:tcW w:w="9322" w:type="dxa"/>
            <w:gridSpan w:val="9"/>
            <w:shd w:val="clear" w:color="auto" w:fill="4F81BD"/>
            <w:vAlign w:val="center"/>
          </w:tcPr>
          <w:p w:rsidR="00DF335D" w:rsidRPr="00AE5D6E" w:rsidRDefault="00DF335D" w:rsidP="009F1029">
            <w:pPr>
              <w:spacing w:after="0"/>
              <w:jc w:val="center"/>
              <w:rPr>
                <w:b/>
                <w:bCs/>
              </w:rPr>
            </w:pPr>
            <w:r w:rsidRPr="00AE5D6E">
              <w:rPr>
                <w:b/>
                <w:bCs/>
              </w:rPr>
              <w:t>Gefahrenstoffe</w:t>
            </w:r>
          </w:p>
        </w:tc>
      </w:tr>
      <w:tr w:rsidR="00DF335D" w:rsidRPr="009C5E28" w:rsidTr="009F102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F335D" w:rsidRPr="00AE5D6E" w:rsidRDefault="00DF335D" w:rsidP="009F1029">
            <w:pPr>
              <w:spacing w:after="0" w:line="276" w:lineRule="auto"/>
              <w:jc w:val="center"/>
              <w:rPr>
                <w:b/>
                <w:bCs/>
              </w:rPr>
            </w:pPr>
            <w:r w:rsidRPr="00AE5D6E">
              <w:t>Natriumcarbonat-</w:t>
            </w:r>
            <w:proofErr w:type="spellStart"/>
            <w:r w:rsidRPr="00AE5D6E">
              <w:t>decahydrat</w:t>
            </w:r>
            <w:proofErr w:type="spellEnd"/>
          </w:p>
        </w:tc>
        <w:tc>
          <w:tcPr>
            <w:tcW w:w="3177" w:type="dxa"/>
            <w:gridSpan w:val="3"/>
            <w:tcBorders>
              <w:top w:val="single" w:sz="8" w:space="0" w:color="4F81BD"/>
              <w:bottom w:val="single" w:sz="8" w:space="0" w:color="4F81BD"/>
            </w:tcBorders>
            <w:shd w:val="clear" w:color="auto" w:fill="auto"/>
            <w:vAlign w:val="center"/>
          </w:tcPr>
          <w:p w:rsidR="00DF335D" w:rsidRPr="00AE5D6E" w:rsidRDefault="00DF335D" w:rsidP="009F1029">
            <w:pPr>
              <w:spacing w:after="0"/>
              <w:jc w:val="center"/>
            </w:pPr>
            <w:r w:rsidRPr="00AE5D6E">
              <w:t>H: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F335D" w:rsidRPr="009C5E28" w:rsidRDefault="00DF335D" w:rsidP="009F1029">
            <w:pPr>
              <w:spacing w:after="0"/>
              <w:jc w:val="center"/>
            </w:pPr>
            <w:r w:rsidRPr="009C5E28">
              <w:rPr>
                <w:sz w:val="20"/>
              </w:rPr>
              <w:t xml:space="preserve">P: </w:t>
            </w:r>
            <w:r>
              <w:t>260-305+351+338</w:t>
            </w:r>
          </w:p>
        </w:tc>
      </w:tr>
      <w:tr w:rsidR="00DF335D" w:rsidRPr="009C5E28" w:rsidTr="009F1029">
        <w:trPr>
          <w:trHeight w:val="434"/>
        </w:trPr>
        <w:tc>
          <w:tcPr>
            <w:tcW w:w="3027" w:type="dxa"/>
            <w:gridSpan w:val="3"/>
            <w:shd w:val="clear" w:color="auto" w:fill="auto"/>
            <w:vAlign w:val="center"/>
          </w:tcPr>
          <w:p w:rsidR="00DF335D" w:rsidRPr="00AE5D6E" w:rsidRDefault="00DF335D" w:rsidP="009F1029">
            <w:pPr>
              <w:spacing w:after="0" w:line="276" w:lineRule="auto"/>
              <w:jc w:val="center"/>
              <w:rPr>
                <w:bCs/>
              </w:rPr>
            </w:pPr>
            <w:r w:rsidRPr="00AE5D6E">
              <w:rPr>
                <w:color w:val="auto"/>
              </w:rPr>
              <w:t>Eisennitrat-</w:t>
            </w:r>
            <w:proofErr w:type="spellStart"/>
            <w:r w:rsidRPr="00AE5D6E">
              <w:rPr>
                <w:color w:val="auto"/>
              </w:rPr>
              <w:t>nonahydrat</w:t>
            </w:r>
            <w:proofErr w:type="spellEnd"/>
          </w:p>
        </w:tc>
        <w:tc>
          <w:tcPr>
            <w:tcW w:w="3177" w:type="dxa"/>
            <w:gridSpan w:val="3"/>
            <w:shd w:val="clear" w:color="auto" w:fill="auto"/>
            <w:vAlign w:val="center"/>
          </w:tcPr>
          <w:p w:rsidR="00DF335D" w:rsidRPr="00AE5D6E" w:rsidRDefault="00DF335D" w:rsidP="009F1029">
            <w:pPr>
              <w:pStyle w:val="Beschriftung"/>
              <w:spacing w:after="0"/>
              <w:jc w:val="center"/>
              <w:rPr>
                <w:sz w:val="22"/>
                <w:szCs w:val="22"/>
              </w:rPr>
            </w:pPr>
            <w:r w:rsidRPr="00AE5D6E">
              <w:rPr>
                <w:sz w:val="22"/>
                <w:szCs w:val="22"/>
              </w:rPr>
              <w:t>H: 272-315-319</w:t>
            </w:r>
          </w:p>
        </w:tc>
        <w:tc>
          <w:tcPr>
            <w:tcW w:w="3118" w:type="dxa"/>
            <w:gridSpan w:val="3"/>
            <w:shd w:val="clear" w:color="auto" w:fill="auto"/>
            <w:vAlign w:val="center"/>
          </w:tcPr>
          <w:p w:rsidR="00DF335D" w:rsidRPr="00A50361" w:rsidRDefault="00DF335D" w:rsidP="009F1029">
            <w:pPr>
              <w:pStyle w:val="Beschriftung"/>
              <w:spacing w:after="0"/>
              <w:jc w:val="center"/>
              <w:rPr>
                <w:sz w:val="22"/>
                <w:szCs w:val="22"/>
              </w:rPr>
            </w:pPr>
            <w:r w:rsidRPr="00A50361">
              <w:rPr>
                <w:sz w:val="22"/>
                <w:szCs w:val="22"/>
              </w:rPr>
              <w:t>P: 302+352-305+351+338</w:t>
            </w:r>
          </w:p>
        </w:tc>
      </w:tr>
      <w:tr w:rsidR="00DF335D" w:rsidRPr="009C5E28" w:rsidTr="009F1029">
        <w:tc>
          <w:tcPr>
            <w:tcW w:w="1009" w:type="dxa"/>
            <w:tcBorders>
              <w:top w:val="single" w:sz="8" w:space="0" w:color="4F81BD"/>
              <w:left w:val="single" w:sz="8" w:space="0" w:color="4F81BD"/>
              <w:bottom w:val="single" w:sz="8" w:space="0" w:color="4F81BD"/>
            </w:tcBorders>
            <w:shd w:val="clear" w:color="auto" w:fill="auto"/>
            <w:vAlign w:val="center"/>
          </w:tcPr>
          <w:p w:rsidR="00DF335D" w:rsidRPr="009C5E28" w:rsidRDefault="00DF335D" w:rsidP="009F1029">
            <w:pPr>
              <w:spacing w:after="0"/>
              <w:jc w:val="center"/>
              <w:rPr>
                <w:b/>
                <w:bCs/>
              </w:rPr>
            </w:pPr>
            <w:r>
              <w:rPr>
                <w:b/>
                <w:noProof/>
                <w:lang w:eastAsia="de-DE"/>
              </w:rPr>
              <w:drawing>
                <wp:inline distT="0" distB="0" distL="0" distR="0">
                  <wp:extent cx="504190" cy="504190"/>
                  <wp:effectExtent l="19050" t="0" r="0" b="0"/>
                  <wp:docPr id="2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335D" w:rsidRPr="009C5E28" w:rsidRDefault="00DF335D" w:rsidP="009F1029">
            <w:pPr>
              <w:spacing w:after="0"/>
              <w:jc w:val="center"/>
            </w:pPr>
            <w:r>
              <w:rPr>
                <w:noProof/>
                <w:lang w:eastAsia="de-DE"/>
              </w:rPr>
              <w:drawing>
                <wp:inline distT="0" distB="0" distL="0" distR="0">
                  <wp:extent cx="503555" cy="503555"/>
                  <wp:effectExtent l="19050" t="0" r="0" b="0"/>
                  <wp:docPr id="44" name="Grafik 43" descr="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6"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335D" w:rsidRPr="009C5E28" w:rsidRDefault="00DF335D" w:rsidP="009F1029">
            <w:pPr>
              <w:spacing w:after="0"/>
              <w:jc w:val="center"/>
            </w:pPr>
            <w:r>
              <w:rPr>
                <w:noProof/>
                <w:lang w:eastAsia="de-DE"/>
              </w:rPr>
              <w:drawing>
                <wp:inline distT="0" distB="0" distL="0" distR="0">
                  <wp:extent cx="504190" cy="504190"/>
                  <wp:effectExtent l="0" t="0" r="0" b="0"/>
                  <wp:docPr id="2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335D" w:rsidRPr="009C5E28" w:rsidRDefault="00DF335D" w:rsidP="009F1029">
            <w:pPr>
              <w:spacing w:after="0"/>
              <w:jc w:val="center"/>
            </w:pPr>
            <w:r>
              <w:rPr>
                <w:noProof/>
                <w:lang w:eastAsia="de-DE"/>
              </w:rPr>
              <w:drawing>
                <wp:inline distT="0" distB="0" distL="0" distR="0">
                  <wp:extent cx="504190" cy="504190"/>
                  <wp:effectExtent l="0" t="0" r="0" b="0"/>
                  <wp:docPr id="2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F335D" w:rsidRPr="009C5E28" w:rsidRDefault="00DF335D" w:rsidP="009F1029">
            <w:pPr>
              <w:spacing w:after="0"/>
              <w:jc w:val="center"/>
            </w:pPr>
            <w:r>
              <w:rPr>
                <w:noProof/>
                <w:lang w:eastAsia="de-DE"/>
              </w:rPr>
              <w:drawing>
                <wp:inline distT="0" distB="0" distL="0" distR="0">
                  <wp:extent cx="504190" cy="504190"/>
                  <wp:effectExtent l="0" t="0" r="0" b="0"/>
                  <wp:docPr id="2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F335D" w:rsidRPr="009C5E28" w:rsidRDefault="00DF335D" w:rsidP="009F1029">
            <w:pPr>
              <w:spacing w:after="0"/>
              <w:jc w:val="center"/>
            </w:pPr>
            <w:r>
              <w:rPr>
                <w:noProof/>
                <w:lang w:eastAsia="de-DE"/>
              </w:rPr>
              <w:drawing>
                <wp:inline distT="0" distB="0" distL="0" distR="0">
                  <wp:extent cx="504190" cy="504190"/>
                  <wp:effectExtent l="0" t="0" r="0" b="0"/>
                  <wp:docPr id="2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F335D" w:rsidRPr="009C5E28" w:rsidRDefault="00DF335D" w:rsidP="009F1029">
            <w:pPr>
              <w:spacing w:after="0"/>
              <w:jc w:val="center"/>
            </w:pPr>
            <w:r>
              <w:rPr>
                <w:noProof/>
                <w:lang w:eastAsia="de-DE"/>
              </w:rPr>
              <w:drawing>
                <wp:inline distT="0" distB="0" distL="0" distR="0">
                  <wp:extent cx="504190" cy="504190"/>
                  <wp:effectExtent l="0" t="0" r="0" b="0"/>
                  <wp:docPr id="2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335D" w:rsidRPr="009C5E28" w:rsidRDefault="00DF335D" w:rsidP="009F1029">
            <w:pPr>
              <w:spacing w:after="0"/>
              <w:jc w:val="center"/>
            </w:pPr>
            <w:r>
              <w:rPr>
                <w:noProof/>
                <w:lang w:eastAsia="de-DE"/>
              </w:rPr>
              <w:drawing>
                <wp:inline distT="0" distB="0" distL="0" distR="0">
                  <wp:extent cx="511175" cy="511175"/>
                  <wp:effectExtent l="0" t="0" r="0" b="0"/>
                  <wp:docPr id="3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F335D" w:rsidRPr="009C5E28" w:rsidRDefault="00DF335D" w:rsidP="009F1029">
            <w:pPr>
              <w:spacing w:after="0"/>
              <w:jc w:val="center"/>
            </w:pPr>
            <w:r>
              <w:rPr>
                <w:noProof/>
                <w:lang w:eastAsia="de-DE"/>
              </w:rPr>
              <w:drawing>
                <wp:inline distT="0" distB="0" distL="0" distR="0">
                  <wp:extent cx="504190" cy="504190"/>
                  <wp:effectExtent l="0" t="0" r="0" b="0"/>
                  <wp:docPr id="3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F335D" w:rsidRDefault="00DF335D" w:rsidP="00DF335D">
      <w:pPr>
        <w:tabs>
          <w:tab w:val="left" w:pos="1701"/>
          <w:tab w:val="left" w:pos="1985"/>
        </w:tabs>
        <w:ind w:left="1980" w:hanging="1980"/>
      </w:pPr>
    </w:p>
    <w:p w:rsidR="00DF335D" w:rsidRDefault="00DF335D" w:rsidP="00DF335D">
      <w:pPr>
        <w:tabs>
          <w:tab w:val="left" w:pos="1701"/>
          <w:tab w:val="left" w:pos="1985"/>
        </w:tabs>
        <w:ind w:left="1980" w:hanging="1980"/>
      </w:pPr>
      <w:r>
        <w:t xml:space="preserve">Materialien: </w:t>
      </w:r>
      <w:r>
        <w:tab/>
      </w:r>
      <w:r>
        <w:tab/>
        <w:t xml:space="preserve">Becherglas [100 </w:t>
      </w:r>
      <w:proofErr w:type="spellStart"/>
      <w:r>
        <w:t>mL</w:t>
      </w:r>
      <w:proofErr w:type="spellEnd"/>
      <w:r>
        <w:t xml:space="preserve">], Kältethermometer, </w:t>
      </w:r>
      <w:proofErr w:type="spellStart"/>
      <w:r>
        <w:t>Glasstab</w:t>
      </w:r>
      <w:proofErr w:type="spellEnd"/>
      <w:r>
        <w:t>, Mörser</w:t>
      </w:r>
    </w:p>
    <w:p w:rsidR="00DF335D" w:rsidRPr="00ED07C2" w:rsidRDefault="00DF335D" w:rsidP="00DF335D">
      <w:pPr>
        <w:tabs>
          <w:tab w:val="left" w:pos="1701"/>
          <w:tab w:val="left" w:pos="1985"/>
        </w:tabs>
        <w:ind w:left="1980" w:hanging="1980"/>
      </w:pPr>
      <w:r>
        <w:t>Chemikalien:</w:t>
      </w:r>
      <w:r>
        <w:tab/>
      </w:r>
      <w:r>
        <w:tab/>
        <w:t>Natriumcarbonat-</w:t>
      </w:r>
      <w:proofErr w:type="spellStart"/>
      <w:r>
        <w:t>decahydrat</w:t>
      </w:r>
      <w:proofErr w:type="spellEnd"/>
      <w:r>
        <w:t>, Eisennitrat-</w:t>
      </w:r>
      <w:proofErr w:type="spellStart"/>
      <w:r>
        <w:t>nonahydrat</w:t>
      </w:r>
      <w:proofErr w:type="spellEnd"/>
    </w:p>
    <w:p w:rsidR="00DF335D" w:rsidRDefault="00DF335D" w:rsidP="00DF335D">
      <w:pPr>
        <w:tabs>
          <w:tab w:val="left" w:pos="1701"/>
          <w:tab w:val="left" w:pos="1985"/>
        </w:tabs>
        <w:ind w:left="1980" w:hanging="1980"/>
      </w:pPr>
      <w:r>
        <w:t xml:space="preserve">Durchführung: </w:t>
      </w:r>
      <w:r>
        <w:tab/>
      </w:r>
      <w:r>
        <w:tab/>
      </w:r>
      <w:r>
        <w:tab/>
        <w:t xml:space="preserve">Die beiden Salze werden getrennt voneinander abgewogen und grob in einem Mörser zerkleinert. In das Becherglas werden je ein bis zwei </w:t>
      </w:r>
      <w:proofErr w:type="spellStart"/>
      <w:r>
        <w:t>Spatellöffel</w:t>
      </w:r>
      <w:proofErr w:type="spellEnd"/>
      <w:r>
        <w:t xml:space="preserve"> Natriumcarbonat und Eisennitrat miteinander vermischt. Dabei wird umgerührt und die Temperatur gemessen. Es wird 10 Minuten lang alle 60 Sekunden die Temperatur abgelesen. Besonders tiefe Temperaturen können erreicht werden, wenn stöchiometrisch gearbeitet wird [8,6 g Na</w:t>
      </w:r>
      <w:r>
        <w:t>t</w:t>
      </w:r>
      <w:r>
        <w:t>riumcarbonat-</w:t>
      </w:r>
      <w:proofErr w:type="spellStart"/>
      <w:r>
        <w:t>decahydrat</w:t>
      </w:r>
      <w:proofErr w:type="spellEnd"/>
      <w:r>
        <w:t xml:space="preserve"> und 8 g Eisennitrat-</w:t>
      </w:r>
      <w:proofErr w:type="spellStart"/>
      <w:r>
        <w:t>nonahydrat</w:t>
      </w:r>
      <w:proofErr w:type="spellEnd"/>
      <w:r>
        <w:t>] und ein wärm</w:t>
      </w:r>
      <w:r>
        <w:t>e</w:t>
      </w:r>
      <w:r>
        <w:t xml:space="preserve">isoliertes Reaktionsgefäß benutzt wird. </w:t>
      </w:r>
    </w:p>
    <w:p w:rsidR="00DF335D" w:rsidRDefault="00DF335D" w:rsidP="00DF335D">
      <w:pPr>
        <w:tabs>
          <w:tab w:val="left" w:pos="1701"/>
          <w:tab w:val="left" w:pos="1985"/>
        </w:tabs>
        <w:ind w:left="1980" w:hanging="1980"/>
      </w:pPr>
      <w:r>
        <w:t>Beobachtung:</w:t>
      </w:r>
      <w:r>
        <w:tab/>
      </w:r>
      <w:r>
        <w:tab/>
      </w:r>
      <w:r>
        <w:tab/>
        <w:t xml:space="preserve">Die Temperatur sinkt innerhalb weniger Minuten auf etwa 3 Grad Celsius. Es entsteht eine rot-bräunliche zähflüssige Mischung. [Durch den </w:t>
      </w:r>
      <w:r>
        <w:lastRenderedPageBreak/>
        <w:t>Temper</w:t>
      </w:r>
      <w:r>
        <w:t>a</w:t>
      </w:r>
      <w:r>
        <w:t>tursprung in der ersten Minute wäre es sinnvoll, die gemessene Interval</w:t>
      </w:r>
      <w:r>
        <w:t>l</w:t>
      </w:r>
      <w:r>
        <w:t>skala herabzusetzen und zum Beispiel alle 15 Sekunden abzulesen.]</w:t>
      </w:r>
    </w:p>
    <w:tbl>
      <w:tblPr>
        <w:tblStyle w:val="Tabellengitternetz"/>
        <w:tblW w:w="0" w:type="auto"/>
        <w:tblInd w:w="1980" w:type="dxa"/>
        <w:tblLook w:val="04A0"/>
      </w:tblPr>
      <w:tblGrid>
        <w:gridCol w:w="1919"/>
        <w:gridCol w:w="493"/>
        <w:gridCol w:w="410"/>
        <w:gridCol w:w="523"/>
        <w:gridCol w:w="409"/>
        <w:gridCol w:w="409"/>
        <w:gridCol w:w="523"/>
        <w:gridCol w:w="409"/>
        <w:gridCol w:w="409"/>
        <w:gridCol w:w="409"/>
        <w:gridCol w:w="409"/>
        <w:gridCol w:w="493"/>
        <w:gridCol w:w="493"/>
      </w:tblGrid>
      <w:tr w:rsidR="00DF335D" w:rsidTr="009F1029">
        <w:tc>
          <w:tcPr>
            <w:tcW w:w="738" w:type="dxa"/>
          </w:tcPr>
          <w:p w:rsidR="00DF335D" w:rsidRDefault="00DF335D" w:rsidP="009F1029">
            <w:pPr>
              <w:tabs>
                <w:tab w:val="left" w:pos="1701"/>
                <w:tab w:val="left" w:pos="1985"/>
              </w:tabs>
            </w:pPr>
            <w:r>
              <w:tab/>
            </w:r>
            <w:r>
              <w:tab/>
              <w:t>t [min]</w:t>
            </w:r>
          </w:p>
        </w:tc>
        <w:tc>
          <w:tcPr>
            <w:tcW w:w="555" w:type="dxa"/>
          </w:tcPr>
          <w:p w:rsidR="00DF335D" w:rsidRDefault="00DF335D" w:rsidP="009F1029">
            <w:pPr>
              <w:tabs>
                <w:tab w:val="left" w:pos="1701"/>
                <w:tab w:val="left" w:pos="1985"/>
              </w:tabs>
            </w:pPr>
            <w:r>
              <w:t>0</w:t>
            </w:r>
          </w:p>
        </w:tc>
        <w:tc>
          <w:tcPr>
            <w:tcW w:w="543" w:type="dxa"/>
          </w:tcPr>
          <w:p w:rsidR="00DF335D" w:rsidRDefault="00DF335D" w:rsidP="009F1029">
            <w:pPr>
              <w:tabs>
                <w:tab w:val="left" w:pos="1701"/>
                <w:tab w:val="left" w:pos="1985"/>
              </w:tabs>
            </w:pPr>
            <w:r>
              <w:t>1</w:t>
            </w:r>
          </w:p>
        </w:tc>
        <w:tc>
          <w:tcPr>
            <w:tcW w:w="557" w:type="dxa"/>
          </w:tcPr>
          <w:p w:rsidR="00DF335D" w:rsidRDefault="00DF335D" w:rsidP="009F1029">
            <w:pPr>
              <w:tabs>
                <w:tab w:val="left" w:pos="1701"/>
                <w:tab w:val="left" w:pos="1985"/>
              </w:tabs>
            </w:pPr>
            <w:r>
              <w:t>2</w:t>
            </w:r>
          </w:p>
        </w:tc>
        <w:tc>
          <w:tcPr>
            <w:tcW w:w="542" w:type="dxa"/>
          </w:tcPr>
          <w:p w:rsidR="00DF335D" w:rsidRDefault="00DF335D" w:rsidP="009F1029">
            <w:pPr>
              <w:tabs>
                <w:tab w:val="left" w:pos="1701"/>
                <w:tab w:val="left" w:pos="1985"/>
              </w:tabs>
            </w:pPr>
            <w:r>
              <w:t>3</w:t>
            </w:r>
          </w:p>
        </w:tc>
        <w:tc>
          <w:tcPr>
            <w:tcW w:w="542" w:type="dxa"/>
          </w:tcPr>
          <w:p w:rsidR="00DF335D" w:rsidRDefault="00DF335D" w:rsidP="009F1029">
            <w:pPr>
              <w:tabs>
                <w:tab w:val="left" w:pos="1701"/>
                <w:tab w:val="left" w:pos="1985"/>
              </w:tabs>
            </w:pPr>
            <w:r>
              <w:t>4</w:t>
            </w:r>
          </w:p>
        </w:tc>
        <w:tc>
          <w:tcPr>
            <w:tcW w:w="557" w:type="dxa"/>
          </w:tcPr>
          <w:p w:rsidR="00DF335D" w:rsidRDefault="00DF335D" w:rsidP="009F1029">
            <w:pPr>
              <w:tabs>
                <w:tab w:val="left" w:pos="1701"/>
                <w:tab w:val="left" w:pos="1985"/>
              </w:tabs>
            </w:pPr>
            <w:r>
              <w:t>5</w:t>
            </w:r>
          </w:p>
        </w:tc>
        <w:tc>
          <w:tcPr>
            <w:tcW w:w="542" w:type="dxa"/>
          </w:tcPr>
          <w:p w:rsidR="00DF335D" w:rsidRDefault="00DF335D" w:rsidP="009F1029">
            <w:pPr>
              <w:tabs>
                <w:tab w:val="left" w:pos="1701"/>
                <w:tab w:val="left" w:pos="1985"/>
              </w:tabs>
            </w:pPr>
            <w:r>
              <w:t>6</w:t>
            </w:r>
          </w:p>
        </w:tc>
        <w:tc>
          <w:tcPr>
            <w:tcW w:w="542" w:type="dxa"/>
          </w:tcPr>
          <w:p w:rsidR="00DF335D" w:rsidRDefault="00DF335D" w:rsidP="009F1029">
            <w:pPr>
              <w:tabs>
                <w:tab w:val="left" w:pos="1701"/>
                <w:tab w:val="left" w:pos="1985"/>
              </w:tabs>
            </w:pPr>
            <w:r>
              <w:t>7</w:t>
            </w:r>
          </w:p>
        </w:tc>
        <w:tc>
          <w:tcPr>
            <w:tcW w:w="542" w:type="dxa"/>
          </w:tcPr>
          <w:p w:rsidR="00DF335D" w:rsidRDefault="00DF335D" w:rsidP="009F1029">
            <w:pPr>
              <w:tabs>
                <w:tab w:val="left" w:pos="1701"/>
                <w:tab w:val="left" w:pos="1985"/>
              </w:tabs>
            </w:pPr>
            <w:r>
              <w:t>8</w:t>
            </w:r>
          </w:p>
        </w:tc>
        <w:tc>
          <w:tcPr>
            <w:tcW w:w="542" w:type="dxa"/>
          </w:tcPr>
          <w:p w:rsidR="00DF335D" w:rsidRDefault="00DF335D" w:rsidP="009F1029">
            <w:pPr>
              <w:tabs>
                <w:tab w:val="left" w:pos="1701"/>
                <w:tab w:val="left" w:pos="1985"/>
              </w:tabs>
            </w:pPr>
            <w:r>
              <w:t>9</w:t>
            </w:r>
          </w:p>
        </w:tc>
        <w:tc>
          <w:tcPr>
            <w:tcW w:w="553" w:type="dxa"/>
          </w:tcPr>
          <w:p w:rsidR="00DF335D" w:rsidRDefault="00DF335D" w:rsidP="009F1029">
            <w:pPr>
              <w:tabs>
                <w:tab w:val="left" w:pos="1701"/>
                <w:tab w:val="left" w:pos="1985"/>
              </w:tabs>
            </w:pPr>
            <w:r>
              <w:t>10</w:t>
            </w:r>
          </w:p>
        </w:tc>
        <w:tc>
          <w:tcPr>
            <w:tcW w:w="553" w:type="dxa"/>
          </w:tcPr>
          <w:p w:rsidR="00DF335D" w:rsidRDefault="00DF335D" w:rsidP="009F1029">
            <w:pPr>
              <w:tabs>
                <w:tab w:val="left" w:pos="1701"/>
                <w:tab w:val="left" w:pos="1985"/>
              </w:tabs>
            </w:pPr>
            <w:r>
              <w:t>11</w:t>
            </w:r>
          </w:p>
        </w:tc>
      </w:tr>
      <w:tr w:rsidR="00DF335D" w:rsidTr="009F1029">
        <w:tc>
          <w:tcPr>
            <w:tcW w:w="738" w:type="dxa"/>
          </w:tcPr>
          <w:p w:rsidR="00DF335D" w:rsidRDefault="00DF335D" w:rsidP="009F1029">
            <w:pPr>
              <w:tabs>
                <w:tab w:val="left" w:pos="1701"/>
                <w:tab w:val="left" w:pos="1985"/>
              </w:tabs>
            </w:pPr>
            <w:r>
              <w:t>T [°C]</w:t>
            </w:r>
          </w:p>
        </w:tc>
        <w:tc>
          <w:tcPr>
            <w:tcW w:w="555" w:type="dxa"/>
          </w:tcPr>
          <w:p w:rsidR="00DF335D" w:rsidRDefault="00DF335D" w:rsidP="009F1029">
            <w:pPr>
              <w:tabs>
                <w:tab w:val="left" w:pos="1701"/>
                <w:tab w:val="left" w:pos="1985"/>
              </w:tabs>
            </w:pPr>
            <w:r>
              <w:t>22</w:t>
            </w:r>
          </w:p>
        </w:tc>
        <w:tc>
          <w:tcPr>
            <w:tcW w:w="543" w:type="dxa"/>
          </w:tcPr>
          <w:p w:rsidR="00DF335D" w:rsidRDefault="00DF335D" w:rsidP="009F1029">
            <w:pPr>
              <w:tabs>
                <w:tab w:val="left" w:pos="1701"/>
                <w:tab w:val="left" w:pos="1985"/>
              </w:tabs>
            </w:pPr>
            <w:r>
              <w:t>4</w:t>
            </w:r>
          </w:p>
        </w:tc>
        <w:tc>
          <w:tcPr>
            <w:tcW w:w="557" w:type="dxa"/>
          </w:tcPr>
          <w:p w:rsidR="00DF335D" w:rsidRDefault="00DF335D" w:rsidP="009F1029">
            <w:pPr>
              <w:tabs>
                <w:tab w:val="left" w:pos="1701"/>
                <w:tab w:val="left" w:pos="1985"/>
              </w:tabs>
            </w:pPr>
            <w:r>
              <w:t>3,5</w:t>
            </w:r>
          </w:p>
        </w:tc>
        <w:tc>
          <w:tcPr>
            <w:tcW w:w="542" w:type="dxa"/>
          </w:tcPr>
          <w:p w:rsidR="00DF335D" w:rsidRDefault="00DF335D" w:rsidP="009F1029">
            <w:pPr>
              <w:tabs>
                <w:tab w:val="left" w:pos="1701"/>
                <w:tab w:val="left" w:pos="1985"/>
              </w:tabs>
            </w:pPr>
            <w:r>
              <w:t>3</w:t>
            </w:r>
          </w:p>
        </w:tc>
        <w:tc>
          <w:tcPr>
            <w:tcW w:w="542" w:type="dxa"/>
          </w:tcPr>
          <w:p w:rsidR="00DF335D" w:rsidRDefault="00DF335D" w:rsidP="009F1029">
            <w:pPr>
              <w:tabs>
                <w:tab w:val="left" w:pos="1701"/>
                <w:tab w:val="left" w:pos="1985"/>
              </w:tabs>
            </w:pPr>
            <w:r>
              <w:t>4</w:t>
            </w:r>
          </w:p>
        </w:tc>
        <w:tc>
          <w:tcPr>
            <w:tcW w:w="557" w:type="dxa"/>
          </w:tcPr>
          <w:p w:rsidR="00DF335D" w:rsidRDefault="00DF335D" w:rsidP="009F1029">
            <w:pPr>
              <w:tabs>
                <w:tab w:val="left" w:pos="1701"/>
                <w:tab w:val="left" w:pos="1985"/>
              </w:tabs>
            </w:pPr>
            <w:r>
              <w:t>4,5</w:t>
            </w:r>
          </w:p>
        </w:tc>
        <w:tc>
          <w:tcPr>
            <w:tcW w:w="542" w:type="dxa"/>
          </w:tcPr>
          <w:p w:rsidR="00DF335D" w:rsidRDefault="00DF335D" w:rsidP="009F1029">
            <w:pPr>
              <w:tabs>
                <w:tab w:val="left" w:pos="1701"/>
                <w:tab w:val="left" w:pos="1985"/>
              </w:tabs>
            </w:pPr>
            <w:r>
              <w:t>5</w:t>
            </w:r>
          </w:p>
        </w:tc>
        <w:tc>
          <w:tcPr>
            <w:tcW w:w="542" w:type="dxa"/>
          </w:tcPr>
          <w:p w:rsidR="00DF335D" w:rsidRDefault="00DF335D" w:rsidP="009F1029">
            <w:pPr>
              <w:tabs>
                <w:tab w:val="left" w:pos="1701"/>
                <w:tab w:val="left" w:pos="1985"/>
              </w:tabs>
            </w:pPr>
            <w:r>
              <w:t>6</w:t>
            </w:r>
          </w:p>
        </w:tc>
        <w:tc>
          <w:tcPr>
            <w:tcW w:w="542" w:type="dxa"/>
          </w:tcPr>
          <w:p w:rsidR="00DF335D" w:rsidRDefault="00DF335D" w:rsidP="009F1029">
            <w:pPr>
              <w:tabs>
                <w:tab w:val="left" w:pos="1701"/>
                <w:tab w:val="left" w:pos="1985"/>
              </w:tabs>
            </w:pPr>
            <w:r>
              <w:t>7</w:t>
            </w:r>
          </w:p>
        </w:tc>
        <w:tc>
          <w:tcPr>
            <w:tcW w:w="542" w:type="dxa"/>
          </w:tcPr>
          <w:p w:rsidR="00DF335D" w:rsidRDefault="00DF335D" w:rsidP="009F1029">
            <w:pPr>
              <w:tabs>
                <w:tab w:val="left" w:pos="1701"/>
                <w:tab w:val="left" w:pos="1985"/>
              </w:tabs>
            </w:pPr>
            <w:r>
              <w:t>8</w:t>
            </w:r>
          </w:p>
        </w:tc>
        <w:tc>
          <w:tcPr>
            <w:tcW w:w="553" w:type="dxa"/>
          </w:tcPr>
          <w:p w:rsidR="00DF335D" w:rsidRDefault="00DF335D" w:rsidP="009F1029">
            <w:pPr>
              <w:tabs>
                <w:tab w:val="left" w:pos="1701"/>
                <w:tab w:val="left" w:pos="1985"/>
              </w:tabs>
            </w:pPr>
            <w:r>
              <w:t>9</w:t>
            </w:r>
          </w:p>
        </w:tc>
        <w:tc>
          <w:tcPr>
            <w:tcW w:w="553" w:type="dxa"/>
          </w:tcPr>
          <w:p w:rsidR="00DF335D" w:rsidRDefault="00DF335D" w:rsidP="009F1029">
            <w:pPr>
              <w:tabs>
                <w:tab w:val="left" w:pos="1701"/>
                <w:tab w:val="left" w:pos="1985"/>
              </w:tabs>
            </w:pPr>
            <w:r>
              <w:t>10</w:t>
            </w:r>
          </w:p>
        </w:tc>
      </w:tr>
    </w:tbl>
    <w:p w:rsidR="00DF335D" w:rsidRDefault="00DF335D" w:rsidP="00DF335D">
      <w:pPr>
        <w:tabs>
          <w:tab w:val="left" w:pos="1701"/>
          <w:tab w:val="left" w:pos="1985"/>
        </w:tabs>
        <w:ind w:left="1980" w:hanging="1980"/>
      </w:pPr>
      <w:r>
        <w:rPr>
          <w:noProof/>
          <w:lang w:eastAsia="de-DE"/>
        </w:rPr>
        <w:drawing>
          <wp:anchor distT="0" distB="0" distL="114300" distR="114300" simplePos="0" relativeHeight="251662336" behindDoc="0" locked="0" layoutInCell="1" allowOverlap="1">
            <wp:simplePos x="0" y="0"/>
            <wp:positionH relativeFrom="column">
              <wp:posOffset>2900680</wp:posOffset>
            </wp:positionH>
            <wp:positionV relativeFrom="paragraph">
              <wp:posOffset>314960</wp:posOffset>
            </wp:positionV>
            <wp:extent cx="1426845" cy="2108200"/>
            <wp:effectExtent l="19050" t="0" r="1905" b="0"/>
            <wp:wrapThrough wrapText="bothSides">
              <wp:wrapPolygon edited="0">
                <wp:start x="-288" y="0"/>
                <wp:lineTo x="-288" y="21470"/>
                <wp:lineTo x="21629" y="21470"/>
                <wp:lineTo x="21629" y="0"/>
                <wp:lineTo x="-288" y="0"/>
              </wp:wrapPolygon>
            </wp:wrapThrough>
            <wp:docPr id="32" name="Grafik 31" descr="IMG_2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79.JPG"/>
                    <pic:cNvPicPr/>
                  </pic:nvPicPr>
                  <pic:blipFill>
                    <a:blip r:embed="rId14" cstate="print"/>
                    <a:srcRect/>
                    <a:stretch>
                      <a:fillRect/>
                    </a:stretch>
                  </pic:blipFill>
                  <pic:spPr>
                    <a:xfrm>
                      <a:off x="0" y="0"/>
                      <a:ext cx="1426845" cy="2108200"/>
                    </a:xfrm>
                    <a:prstGeom prst="rect">
                      <a:avLst/>
                    </a:prstGeom>
                  </pic:spPr>
                </pic:pic>
              </a:graphicData>
            </a:graphic>
          </wp:anchor>
        </w:drawing>
      </w:r>
      <w:r>
        <w:rPr>
          <w:noProof/>
          <w:lang w:eastAsia="de-DE"/>
        </w:rPr>
        <w:drawing>
          <wp:anchor distT="0" distB="0" distL="114300" distR="114300" simplePos="0" relativeHeight="251663360" behindDoc="0" locked="0" layoutInCell="1" allowOverlap="1">
            <wp:simplePos x="0" y="0"/>
            <wp:positionH relativeFrom="column">
              <wp:posOffset>4536440</wp:posOffset>
            </wp:positionH>
            <wp:positionV relativeFrom="paragraph">
              <wp:posOffset>314960</wp:posOffset>
            </wp:positionV>
            <wp:extent cx="1205865" cy="2113280"/>
            <wp:effectExtent l="19050" t="0" r="0" b="0"/>
            <wp:wrapThrough wrapText="bothSides">
              <wp:wrapPolygon edited="0">
                <wp:start x="-341" y="0"/>
                <wp:lineTo x="-341" y="21418"/>
                <wp:lineTo x="21498" y="21418"/>
                <wp:lineTo x="21498" y="0"/>
                <wp:lineTo x="-341" y="0"/>
              </wp:wrapPolygon>
            </wp:wrapThrough>
            <wp:docPr id="45" name="Grafik 44" descr="IMG_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82.JPG"/>
                    <pic:cNvPicPr/>
                  </pic:nvPicPr>
                  <pic:blipFill>
                    <a:blip r:embed="rId15" cstate="print"/>
                    <a:srcRect/>
                    <a:stretch>
                      <a:fillRect/>
                    </a:stretch>
                  </pic:blipFill>
                  <pic:spPr>
                    <a:xfrm>
                      <a:off x="0" y="0"/>
                      <a:ext cx="1205865" cy="2113280"/>
                    </a:xfrm>
                    <a:prstGeom prst="rect">
                      <a:avLst/>
                    </a:prstGeom>
                  </pic:spPr>
                </pic:pic>
              </a:graphicData>
            </a:graphic>
          </wp:anchor>
        </w:drawing>
      </w:r>
    </w:p>
    <w:p w:rsidR="00DF335D" w:rsidRDefault="00DF335D" w:rsidP="00DF335D">
      <w:pPr>
        <w:keepNext/>
        <w:tabs>
          <w:tab w:val="left" w:pos="1701"/>
          <w:tab w:val="left" w:pos="1985"/>
        </w:tabs>
        <w:ind w:left="1980" w:hanging="1980"/>
      </w:pPr>
    </w:p>
    <w:p w:rsidR="00DF335D" w:rsidRDefault="00DF335D" w:rsidP="00DF335D">
      <w:pPr>
        <w:pStyle w:val="Beschriftung"/>
        <w:jc w:val="left"/>
      </w:pPr>
      <w:r>
        <w:rPr>
          <w:noProof/>
          <w:lang w:eastAsia="de-DE"/>
        </w:rPr>
        <w:drawing>
          <wp:anchor distT="0" distB="0" distL="114300" distR="114300" simplePos="0" relativeHeight="251661312" behindDoc="0" locked="0" layoutInCell="1" allowOverlap="1">
            <wp:simplePos x="0" y="0"/>
            <wp:positionH relativeFrom="column">
              <wp:posOffset>-95885</wp:posOffset>
            </wp:positionH>
            <wp:positionV relativeFrom="paragraph">
              <wp:posOffset>208280</wp:posOffset>
            </wp:positionV>
            <wp:extent cx="2776220" cy="1475105"/>
            <wp:effectExtent l="19050" t="0" r="5080" b="0"/>
            <wp:wrapThrough wrapText="bothSides">
              <wp:wrapPolygon edited="0">
                <wp:start x="-148" y="0"/>
                <wp:lineTo x="-148" y="21200"/>
                <wp:lineTo x="21640" y="21200"/>
                <wp:lineTo x="21640" y="0"/>
                <wp:lineTo x="-148" y="0"/>
              </wp:wrapPolygon>
            </wp:wrapThrough>
            <wp:docPr id="23" name="Grafik 22" descr="IMG_2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77.JPG"/>
                    <pic:cNvPicPr/>
                  </pic:nvPicPr>
                  <pic:blipFill>
                    <a:blip r:embed="rId16" cstate="print"/>
                    <a:srcRect/>
                    <a:stretch>
                      <a:fillRect/>
                    </a:stretch>
                  </pic:blipFill>
                  <pic:spPr>
                    <a:xfrm>
                      <a:off x="0" y="0"/>
                      <a:ext cx="2776220" cy="1475105"/>
                    </a:xfrm>
                    <a:prstGeom prst="rect">
                      <a:avLst/>
                    </a:prstGeom>
                  </pic:spPr>
                </pic:pic>
              </a:graphicData>
            </a:graphic>
          </wp:anchor>
        </w:drawing>
      </w:r>
    </w:p>
    <w:p w:rsidR="00DF335D" w:rsidRDefault="00DF335D" w:rsidP="00DF335D">
      <w:pPr>
        <w:pStyle w:val="Beschriftung"/>
        <w:jc w:val="left"/>
      </w:pPr>
    </w:p>
    <w:p w:rsidR="00DF335D" w:rsidRDefault="00DF335D" w:rsidP="00DF335D">
      <w:pPr>
        <w:pStyle w:val="Beschriftung"/>
        <w:jc w:val="left"/>
      </w:pPr>
      <w:r>
        <w:t xml:space="preserve">Abb. 7-9 - </w:t>
      </w:r>
      <w:r>
        <w:rPr>
          <w:noProof/>
        </w:rPr>
        <w:t xml:space="preserve"> Reagenzien vor der Reaktion, zu Beginn der Reaktion und zum Ende der Reaktion</w:t>
      </w:r>
    </w:p>
    <w:p w:rsidR="00DF335D" w:rsidRDefault="00DF335D" w:rsidP="00DF335D">
      <w:pPr>
        <w:tabs>
          <w:tab w:val="left" w:pos="1701"/>
          <w:tab w:val="left" w:pos="1985"/>
        </w:tabs>
        <w:ind w:left="2124" w:hanging="2124"/>
      </w:pPr>
      <w:r>
        <w:t>Deutung:</w:t>
      </w:r>
      <w:r>
        <w:tab/>
      </w:r>
      <w:r>
        <w:tab/>
      </w:r>
      <w:r>
        <w:tab/>
        <w:t xml:space="preserve">Es findet folgende Reaktion statt: </w:t>
      </w:r>
    </w:p>
    <w:p w:rsidR="00DF335D" w:rsidRDefault="00DF335D" w:rsidP="00DF335D">
      <w:pPr>
        <w:tabs>
          <w:tab w:val="left" w:pos="1701"/>
          <w:tab w:val="left" w:pos="1985"/>
        </w:tabs>
        <w:ind w:left="2124" w:hanging="2124"/>
        <w:rPr>
          <w:rFonts w:eastAsiaTheme="minorEastAsia"/>
        </w:rPr>
      </w:pPr>
      <w:r>
        <w:tab/>
      </w:r>
      <w:r>
        <w:tab/>
      </w:r>
      <w:r>
        <w:tab/>
        <w:t>Da die Temperatur sinkt, findet eine endotherme Reaktion statt. Bei end</w:t>
      </w:r>
      <w:r>
        <w:t>o</w:t>
      </w:r>
      <w:r>
        <w:t>thermen Reaktionen ist</w:t>
      </w:r>
      <m:oMath>
        <m:r>
          <w:rPr>
            <w:rFonts w:ascii="Cambria Math" w:hAnsi="Cambria Math"/>
          </w:rPr>
          <m:t xml:space="preserve"> </m:t>
        </m:r>
        <m:r>
          <m:rPr>
            <m:sty m:val="p"/>
          </m:rPr>
          <w:rPr>
            <w:rFonts w:ascii="Cambria Math" w:hAnsi="Cambria Math"/>
          </w:rPr>
          <m:t>∆H</m:t>
        </m:r>
        <m:r>
          <w:rPr>
            <w:rFonts w:ascii="Cambria Math" w:hAnsi="Cambria Math"/>
          </w:rPr>
          <m:t>&gt;0</m:t>
        </m:r>
      </m:oMath>
      <w:r>
        <w:t>, sie laufen also eigentlich nicht freiwillig ab. Ob eine Reaktion freiwillig abläuft oder nicht, hängt aber nicht nur d</w:t>
      </w:r>
      <w:r>
        <w:t>a</w:t>
      </w:r>
      <w:r>
        <w:t>von ab ob sie endotherm oder exotherm ist, sondern auch von der freien Enthalpie</w:t>
      </w:r>
      <m:oMath>
        <m:r>
          <w:rPr>
            <w:rFonts w:ascii="Cambria Math" w:hAnsi="Cambria Math"/>
          </w:rPr>
          <m:t xml:space="preserve"> </m:t>
        </m:r>
        <m:r>
          <m:rPr>
            <m:sty m:val="p"/>
          </m:rPr>
          <w:rPr>
            <w:rFonts w:ascii="Cambria Math" w:hAnsi="Cambria Math"/>
          </w:rPr>
          <m:t>∆G</m:t>
        </m:r>
      </m:oMath>
      <w:r>
        <w:rPr>
          <w:rFonts w:eastAsiaTheme="minorEastAsia"/>
        </w:rPr>
        <w:t xml:space="preserve">. Reaktionen laufen freiwillig ab, wenn </w:t>
      </w:r>
      <m:oMath>
        <m:r>
          <m:rPr>
            <m:sty m:val="p"/>
          </m:rPr>
          <w:rPr>
            <w:rFonts w:ascii="Cambria Math" w:hAnsi="Cambria Math"/>
          </w:rPr>
          <m:t>∆G</m:t>
        </m:r>
        <m:r>
          <w:rPr>
            <w:rFonts w:ascii="Cambria Math" w:hAnsi="Cambria Math"/>
          </w:rPr>
          <m:t>&lt;0</m:t>
        </m:r>
      </m:oMath>
      <w:r>
        <w:t xml:space="preserve"> ist, dies wird als exergon bezeichnet. Die freie Enthalpie lässt sich mit der Gibbs-Helmholtz-Gleichung berechnen, welche den Zusammenhang zwischen der Enthalpie und der Entropie aufzeigt, wobei die Entropie temperatu</w:t>
      </w:r>
      <w:r>
        <w:t>r</w:t>
      </w:r>
      <w:r>
        <w:t xml:space="preserve">abhängig ist: </w:t>
      </w:r>
      <m:oMath>
        <m:r>
          <m:rPr>
            <m:sty m:val="p"/>
          </m:rPr>
          <w:rPr>
            <w:rFonts w:ascii="Cambria Math" w:hAnsi="Cambria Math"/>
          </w:rPr>
          <m:t>∆G=∆H-T∙∆S</m:t>
        </m:r>
      </m:oMath>
      <w:r>
        <w:rPr>
          <w:rFonts w:eastAsiaTheme="minorEastAsia"/>
        </w:rPr>
        <w:t xml:space="preserve">. </w:t>
      </w:r>
    </w:p>
    <w:p w:rsidR="00DF335D" w:rsidRPr="00772FA1" w:rsidRDefault="00DF335D" w:rsidP="00DF335D">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Damit die endotherme Reaktion zwischen Natriumcarbonat-</w:t>
      </w:r>
      <w:proofErr w:type="spellStart"/>
      <w:r>
        <w:rPr>
          <w:rFonts w:eastAsiaTheme="minorEastAsia"/>
        </w:rPr>
        <w:t>decahydrat</w:t>
      </w:r>
      <w:proofErr w:type="spellEnd"/>
      <w:r>
        <w:rPr>
          <w:rFonts w:eastAsiaTheme="minorEastAsia"/>
        </w:rPr>
        <w:t xml:space="preserve"> und Eisennitrat-</w:t>
      </w:r>
      <w:proofErr w:type="spellStart"/>
      <w:r>
        <w:rPr>
          <w:rFonts w:eastAsiaTheme="minorEastAsia"/>
        </w:rPr>
        <w:t>nonahydrat</w:t>
      </w:r>
      <w:proofErr w:type="spellEnd"/>
      <w:r>
        <w:rPr>
          <w:rFonts w:eastAsiaTheme="minorEastAsia"/>
        </w:rPr>
        <w:t xml:space="preserve"> freiwillig ablaufen kann, muss also </w:t>
      </w:r>
      <m:oMath>
        <m:r>
          <m:rPr>
            <m:sty m:val="p"/>
          </m:rPr>
          <w:rPr>
            <w:rFonts w:ascii="Cambria Math" w:hAnsi="Cambria Math"/>
          </w:rPr>
          <m:t>∆G</m:t>
        </m:r>
        <m:r>
          <w:rPr>
            <w:rFonts w:ascii="Cambria Math" w:hAnsi="Cambria Math"/>
          </w:rPr>
          <m:t>&lt;0</m:t>
        </m:r>
      </m:oMath>
      <w:r>
        <w:rPr>
          <w:rFonts w:eastAsiaTheme="minorEastAsia"/>
        </w:rPr>
        <w:t xml:space="preserve"> sein. </w:t>
      </w:r>
      <w:proofErr w:type="gramStart"/>
      <w:r>
        <w:rPr>
          <w:rFonts w:eastAsiaTheme="minorEastAsia"/>
        </w:rPr>
        <w:t xml:space="preserve">Da </w:t>
      </w:r>
      <m:oMath>
        <w:proofErr w:type="gramEnd"/>
        <m:r>
          <m:rPr>
            <m:sty m:val="p"/>
          </m:rPr>
          <w:rPr>
            <w:rFonts w:ascii="Cambria Math" w:hAnsi="Cambria Math"/>
          </w:rPr>
          <m:t>∆H</m:t>
        </m:r>
        <m:r>
          <w:rPr>
            <w:rFonts w:ascii="Cambria Math" w:hAnsi="Cambria Math"/>
          </w:rPr>
          <m:t>&gt;0</m:t>
        </m:r>
      </m:oMath>
      <w:r>
        <w:t xml:space="preserve">, muss  </w:t>
      </w:r>
      <m:oMath>
        <m:r>
          <m:rPr>
            <m:sty m:val="p"/>
          </m:rPr>
          <w:rPr>
            <w:rFonts w:ascii="Cambria Math" w:hAnsi="Cambria Math"/>
          </w:rPr>
          <m:t>T∙∆S</m:t>
        </m:r>
      </m:oMath>
      <w:r>
        <w:rPr>
          <w:rFonts w:eastAsiaTheme="minorEastAsia"/>
        </w:rPr>
        <w:t xml:space="preserve"> so groß sein, dass </w:t>
      </w:r>
      <m:oMath>
        <m:r>
          <m:rPr>
            <m:sty m:val="p"/>
          </m:rPr>
          <w:rPr>
            <w:rFonts w:ascii="Cambria Math" w:hAnsi="Cambria Math"/>
          </w:rPr>
          <m:t>∆G</m:t>
        </m:r>
      </m:oMath>
      <w:r>
        <w:rPr>
          <w:rFonts w:eastAsiaTheme="minorEastAsia"/>
        </w:rPr>
        <w:t xml:space="preserve"> negativ wird. Mit and</w:t>
      </w:r>
      <w:proofErr w:type="spellStart"/>
      <w:r>
        <w:rPr>
          <w:rFonts w:eastAsiaTheme="minorEastAsia"/>
        </w:rPr>
        <w:t>e</w:t>
      </w:r>
      <w:r>
        <w:rPr>
          <w:rFonts w:eastAsiaTheme="minorEastAsia"/>
        </w:rPr>
        <w:t>ren</w:t>
      </w:r>
      <w:proofErr w:type="spellEnd"/>
      <w:r>
        <w:rPr>
          <w:rFonts w:eastAsiaTheme="minorEastAsia"/>
        </w:rPr>
        <w:t xml:space="preserve"> Worten: das Produkt aus Temperatur und </w:t>
      </w:r>
      <w:proofErr w:type="spellStart"/>
      <w:r>
        <w:rPr>
          <w:rFonts w:eastAsiaTheme="minorEastAsia"/>
        </w:rPr>
        <w:t>Entropieänderung</w:t>
      </w:r>
      <w:proofErr w:type="spellEnd"/>
      <w:r>
        <w:rPr>
          <w:rFonts w:eastAsiaTheme="minorEastAsia"/>
        </w:rPr>
        <w:t xml:space="preserve"> muss größer sein als die </w:t>
      </w:r>
      <w:proofErr w:type="spellStart"/>
      <w:r>
        <w:rPr>
          <w:rFonts w:eastAsiaTheme="minorEastAsia"/>
        </w:rPr>
        <w:t>Enthalpieänderung</w:t>
      </w:r>
      <w:proofErr w:type="spellEnd"/>
      <w:r>
        <w:rPr>
          <w:rFonts w:eastAsiaTheme="minorEastAsia"/>
        </w:rPr>
        <w:t>. Es zeigt sich, dass die Entropie n</w:t>
      </w:r>
      <w:r>
        <w:rPr>
          <w:rFonts w:eastAsiaTheme="minorEastAsia"/>
        </w:rPr>
        <w:t>e</w:t>
      </w:r>
      <w:r>
        <w:rPr>
          <w:rFonts w:eastAsiaTheme="minorEastAsia"/>
        </w:rPr>
        <w:t xml:space="preserve">ben der Enthalpie einen Einfluss auf den freiwilligen/nicht freiwilligen Ablauf einer chemischen Reaktion hat. Die Entropie wird allgemein als Maß der Unordnung der Umgebung definiert, was sich am </w:t>
      </w:r>
      <w:r>
        <w:rPr>
          <w:rFonts w:eastAsiaTheme="minorEastAsia"/>
        </w:rPr>
        <w:lastRenderedPageBreak/>
        <w:t>Beispiel der beiden Edukte veranschaulichen lässt: Ursprünglich befinden sich beide Salze getrennt voneinander in höchstgeordneten Gitterstrukturen. Durch das Mischen wird diese Ordnung durcheinander gebracht und die Unor</w:t>
      </w:r>
      <w:r>
        <w:rPr>
          <w:rFonts w:eastAsiaTheme="minorEastAsia"/>
        </w:rPr>
        <w:t>d</w:t>
      </w:r>
      <w:r>
        <w:rPr>
          <w:rFonts w:eastAsiaTheme="minorEastAsia"/>
        </w:rPr>
        <w:t>nung (die Entropie) nimmt erheblich zu, was durch die rot-bräunliche zähflüssige Lösung deutlich wird. Dies zeigt, dass die geordneten Gitte</w:t>
      </w:r>
      <w:r>
        <w:rPr>
          <w:rFonts w:eastAsiaTheme="minorEastAsia"/>
        </w:rPr>
        <w:t>r</w:t>
      </w:r>
      <w:r>
        <w:rPr>
          <w:rFonts w:eastAsiaTheme="minorEastAsia"/>
        </w:rPr>
        <w:t xml:space="preserve">strukturen aufgelöst sind und die ursprünglich weißen bzw. lilafarbenen Kristalle sich vermischt haben und nicht mehr einzeln identifizierbar sind. Durch die Zunahme der Entropie wird im Umkehrschluss dann </w:t>
      </w:r>
      <m:oMath>
        <m:r>
          <m:rPr>
            <m:sty m:val="p"/>
          </m:rPr>
          <w:rPr>
            <w:rFonts w:ascii="Cambria Math" w:hAnsi="Cambria Math"/>
          </w:rPr>
          <m:t>T∙∆S</m:t>
        </m:r>
      </m:oMath>
      <w:r>
        <w:rPr>
          <w:rFonts w:eastAsiaTheme="minorEastAsia"/>
        </w:rPr>
        <w:t xml:space="preserve"> größer und dadurch </w:t>
      </w:r>
      <m:oMath>
        <m:r>
          <m:rPr>
            <m:sty m:val="p"/>
          </m:rPr>
          <w:rPr>
            <w:rFonts w:ascii="Cambria Math" w:hAnsi="Cambria Math"/>
          </w:rPr>
          <m:t>∆G</m:t>
        </m:r>
      </m:oMath>
      <w:r>
        <w:rPr>
          <w:rFonts w:eastAsiaTheme="minorEastAsia"/>
        </w:rPr>
        <w:t xml:space="preserve"> negativ. </w:t>
      </w:r>
      <w:r>
        <w:rPr>
          <w:rFonts w:eastAsiaTheme="minorEastAsia"/>
        </w:rPr>
        <w:tab/>
      </w:r>
      <w:r>
        <w:rPr>
          <w:rFonts w:eastAsiaTheme="minorEastAsia"/>
        </w:rPr>
        <w:tab/>
      </w:r>
      <w:r>
        <w:rPr>
          <w:rFonts w:eastAsiaTheme="minorEastAsia"/>
        </w:rPr>
        <w:tab/>
        <w:t xml:space="preserve"> </w:t>
      </w:r>
    </w:p>
    <w:p w:rsidR="00DF335D" w:rsidRDefault="00DF335D" w:rsidP="00DF335D">
      <w:pPr>
        <w:spacing w:line="276" w:lineRule="auto"/>
        <w:jc w:val="left"/>
      </w:pPr>
      <w:r>
        <w:t>Entsorgung:</w:t>
      </w:r>
      <w:r>
        <w:tab/>
        <w:t xml:space="preserve">           </w:t>
      </w:r>
      <w:r>
        <w:tab/>
        <w:t xml:space="preserve">Die Reste werden im Schwermetallbehälter entsorgt. </w:t>
      </w:r>
    </w:p>
    <w:p w:rsidR="00DF335D" w:rsidRPr="005B60E3" w:rsidRDefault="00DF335D" w:rsidP="00DF335D">
      <w:pPr>
        <w:spacing w:line="276" w:lineRule="auto"/>
        <w:ind w:left="2124" w:hanging="2124"/>
        <w:jc w:val="left"/>
        <w:rPr>
          <w:rFonts w:asciiTheme="majorHAnsi" w:eastAsiaTheme="majorEastAsia" w:hAnsiTheme="majorHAnsi" w:cstheme="majorBidi"/>
          <w:b/>
          <w:bCs/>
          <w:sz w:val="28"/>
          <w:szCs w:val="28"/>
        </w:rPr>
      </w:pPr>
      <w:r>
        <w:t>Literatur:</w:t>
      </w:r>
      <w:r>
        <w:tab/>
      </w:r>
      <w:r w:rsidRPr="00754708">
        <w:rPr>
          <w:color w:val="auto"/>
        </w:rPr>
        <w:t xml:space="preserve">H. Schmidkunz, W. </w:t>
      </w:r>
      <w:proofErr w:type="spellStart"/>
      <w:r w:rsidRPr="00754708">
        <w:rPr>
          <w:color w:val="auto"/>
        </w:rPr>
        <w:t>Rentzsch</w:t>
      </w:r>
      <w:proofErr w:type="spellEnd"/>
      <w:r w:rsidRPr="00754708">
        <w:rPr>
          <w:color w:val="auto"/>
        </w:rPr>
        <w:t xml:space="preserve">, </w:t>
      </w:r>
      <w:r w:rsidRPr="00754708">
        <w:rPr>
          <w:i/>
          <w:color w:val="auto"/>
        </w:rPr>
        <w:t xml:space="preserve">Chemie Freihandversuche Band 1, </w:t>
      </w:r>
      <w:proofErr w:type="spellStart"/>
      <w:r w:rsidRPr="00754708">
        <w:rPr>
          <w:color w:val="auto"/>
        </w:rPr>
        <w:t>Aulis</w:t>
      </w:r>
      <w:proofErr w:type="spellEnd"/>
      <w:r w:rsidRPr="00754708">
        <w:rPr>
          <w:color w:val="auto"/>
        </w:rPr>
        <w:t xml:space="preserve"> Ve</w:t>
      </w:r>
      <w:r w:rsidRPr="00754708">
        <w:rPr>
          <w:color w:val="auto"/>
        </w:rPr>
        <w:t>r</w:t>
      </w:r>
      <w:r w:rsidRPr="00754708">
        <w:rPr>
          <w:color w:val="auto"/>
        </w:rPr>
        <w:t>lag, 2011, S. 97-98.</w:t>
      </w:r>
    </w:p>
    <w:p w:rsidR="00DF335D" w:rsidRPr="006E32AF" w:rsidRDefault="00DF335D" w:rsidP="00DF335D">
      <w:pPr>
        <w:tabs>
          <w:tab w:val="left" w:pos="1701"/>
          <w:tab w:val="left" w:pos="1985"/>
        </w:tabs>
        <w:ind w:left="1980" w:hanging="1980"/>
        <w:rPr>
          <w:rFonts w:eastAsiaTheme="minorEastAsia"/>
        </w:rPr>
      </w:pPr>
      <w:r w:rsidRPr="00B23CDE">
        <w:pict>
          <v:shape id="_x0000_s1026" type="#_x0000_t202" style="width:462.45pt;height:182.75pt;mso-position-horizontal-relative:char;mso-position-vertical-relative:line;mso-width-relative:margin;mso-height-relative:margin" fillcolor="white [3201]" strokecolor="#c0504d [3205]" strokeweight="1pt">
            <v:stroke dashstyle="dash"/>
            <v:shadow color="#868686"/>
            <v:textbox style="mso-next-textbox:#_x0000_s1026">
              <w:txbxContent>
                <w:p w:rsidR="00DF335D" w:rsidRPr="000B4B44" w:rsidRDefault="00DF335D" w:rsidP="00DF335D">
                  <w:pPr>
                    <w:rPr>
                      <w:color w:val="auto"/>
                    </w:rPr>
                  </w:pPr>
                  <w:r w:rsidRPr="000B4B44">
                    <w:rPr>
                      <w:color w:val="auto"/>
                    </w:rPr>
                    <w:t xml:space="preserve">In der Literatur wird eine Temperaturdifferenz von 30 K angegeben, diese wurde aber auch unter Einhaltung der stöchiometrischen Angaben nicht erreicht. Der Effekt ist aber trotzdem sichtbar. Neben der Auswertung mit Bezug zu den wichtigsten Begriffen der Thermodynamik wäre alternativ auch eine graphische Auftragung der </w:t>
                  </w:r>
                  <w:r>
                    <w:rPr>
                      <w:color w:val="auto"/>
                    </w:rPr>
                    <w:t>Temperatur-Zeit-Geraden möglich, sowie eine Berechnung der freien Enthalpie mit geeigneten Werten, die der Literatur zu entnehmen sind.</w:t>
                  </w:r>
                  <w:r w:rsidRPr="000B4B44">
                    <w:rPr>
                      <w:color w:val="auto"/>
                    </w:rPr>
                    <w:t xml:space="preserve"> Der Versuch lässt sich gut im Zusammenhang mit der Erarbeitung oder Vertiefung der Gibbs-Helmholtz-Gleichung einsetzen, wichtige Begriffe und Zusammenhänge können anhand des Versuchs verdeutlicht und erklärt werden. Generell ist aber zu beachten, dass das Thema Entropie nur für das erhöhte Anforderungsniveau vorgesehen ist. </w:t>
                  </w:r>
                </w:p>
              </w:txbxContent>
            </v:textbox>
            <w10:wrap type="none"/>
            <w10:anchorlock/>
          </v:shape>
        </w:pict>
      </w:r>
    </w:p>
    <w:p w:rsidR="00F069C6" w:rsidRDefault="00F069C6"/>
    <w:sectPr w:rsidR="00F069C6" w:rsidSect="00F069C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335D"/>
    <w:rsid w:val="00982EE1"/>
    <w:rsid w:val="00B17FB7"/>
    <w:rsid w:val="00DF335D"/>
    <w:rsid w:val="00F069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335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F335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F335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F335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F335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F335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F335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F335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F335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F335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335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F335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F335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F335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F335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F335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F335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F335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F335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F335D"/>
    <w:pPr>
      <w:spacing w:line="240" w:lineRule="auto"/>
    </w:pPr>
    <w:rPr>
      <w:bCs/>
      <w:color w:val="auto"/>
      <w:sz w:val="18"/>
      <w:szCs w:val="18"/>
    </w:rPr>
  </w:style>
  <w:style w:type="table" w:styleId="Tabellengitternetz">
    <w:name w:val="Table Grid"/>
    <w:basedOn w:val="NormaleTabelle"/>
    <w:uiPriority w:val="59"/>
    <w:rsid w:val="00DF3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DF335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335D"/>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2916</Characters>
  <Application>Microsoft Office Word</Application>
  <DocSecurity>0</DocSecurity>
  <Lines>24</Lines>
  <Paragraphs>6</Paragraphs>
  <ScaleCrop>false</ScaleCrop>
  <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1</cp:revision>
  <dcterms:created xsi:type="dcterms:W3CDTF">2014-08-26T17:29:00Z</dcterms:created>
  <dcterms:modified xsi:type="dcterms:W3CDTF">2014-08-26T17:36:00Z</dcterms:modified>
</cp:coreProperties>
</file>