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CC" w:rsidRDefault="005500CC" w:rsidP="005500CC">
      <w:pPr>
        <w:tabs>
          <w:tab w:val="left" w:pos="1701"/>
          <w:tab w:val="left" w:pos="1985"/>
        </w:tabs>
        <w:rPr>
          <w:b/>
          <w:sz w:val="28"/>
        </w:rPr>
      </w:pPr>
      <w:r>
        <w:rPr>
          <w:b/>
          <w:sz w:val="28"/>
        </w:rPr>
        <w:t>Freie Enthalpie – Anwendung der Gibbs-Helmholtz-Gleichung</w:t>
      </w:r>
      <w:r>
        <w:rPr>
          <w:b/>
          <w:sz w:val="28"/>
        </w:rPr>
        <w:tab/>
      </w:r>
    </w:p>
    <w:p w:rsidR="005500CC" w:rsidRDefault="005500CC" w:rsidP="005500CC">
      <w:pPr>
        <w:tabs>
          <w:tab w:val="left" w:pos="1701"/>
          <w:tab w:val="left" w:pos="1985"/>
        </w:tabs>
        <w:ind w:left="1695" w:hanging="1695"/>
        <w:rPr>
          <w:sz w:val="24"/>
          <w:szCs w:val="24"/>
        </w:rPr>
      </w:pPr>
      <w:r w:rsidRPr="00E76655">
        <w:rPr>
          <w:b/>
          <w:sz w:val="24"/>
          <w:szCs w:val="24"/>
        </w:rPr>
        <w:t>Aufgabe 1:</w:t>
      </w:r>
      <w:r w:rsidRPr="00E76655">
        <w:rPr>
          <w:sz w:val="24"/>
          <w:szCs w:val="24"/>
        </w:rPr>
        <w:tab/>
      </w:r>
      <w:r w:rsidRPr="00E76655">
        <w:rPr>
          <w:sz w:val="24"/>
          <w:szCs w:val="24"/>
        </w:rPr>
        <w:tab/>
        <w:t>Definiere die Begriffe Standard-Bildungsenthalpie und Entropie.</w:t>
      </w:r>
      <w:r>
        <w:rPr>
          <w:sz w:val="24"/>
          <w:szCs w:val="24"/>
        </w:rPr>
        <w:t xml:space="preserve"> Mit welchen Symbolen werden sie bezeichnet?</w:t>
      </w:r>
    </w:p>
    <w:p w:rsidR="005500CC" w:rsidRDefault="005500CC" w:rsidP="005500CC">
      <w:pPr>
        <w:tabs>
          <w:tab w:val="left" w:pos="1701"/>
          <w:tab w:val="left" w:pos="1985"/>
        </w:tabs>
        <w:ind w:left="1695" w:hanging="1695"/>
        <w:rPr>
          <w:color w:val="auto"/>
          <w:sz w:val="24"/>
          <w:szCs w:val="24"/>
        </w:rPr>
      </w:pPr>
      <w:r>
        <w:rPr>
          <w:b/>
          <w:sz w:val="24"/>
          <w:szCs w:val="24"/>
        </w:rPr>
        <w:t>Aufgabe 2:</w:t>
      </w:r>
      <w:r>
        <w:rPr>
          <w:color w:val="1F497D" w:themeColor="text2"/>
          <w:sz w:val="24"/>
          <w:szCs w:val="24"/>
        </w:rPr>
        <w:tab/>
      </w:r>
      <w:r w:rsidRPr="000D3CCE">
        <w:rPr>
          <w:color w:val="auto"/>
          <w:sz w:val="24"/>
          <w:szCs w:val="24"/>
        </w:rPr>
        <w:t>Wie lautet die Gibbs-Helmholtz-Gleichung? Benenne alle Symbole.</w:t>
      </w:r>
    </w:p>
    <w:p w:rsidR="005500CC" w:rsidRDefault="005500CC" w:rsidP="005500CC">
      <w:pPr>
        <w:tabs>
          <w:tab w:val="left" w:pos="1701"/>
          <w:tab w:val="left" w:pos="1985"/>
        </w:tabs>
        <w:ind w:left="1695" w:hanging="1695"/>
        <w:rPr>
          <w:color w:val="auto"/>
          <w:sz w:val="24"/>
          <w:szCs w:val="24"/>
        </w:rPr>
      </w:pPr>
      <w:r>
        <w:rPr>
          <w:b/>
          <w:sz w:val="24"/>
          <w:szCs w:val="24"/>
        </w:rPr>
        <w:t>Aufgabe 3:</w:t>
      </w:r>
      <w:r>
        <w:rPr>
          <w:color w:val="auto"/>
          <w:sz w:val="24"/>
          <w:szCs w:val="24"/>
        </w:rPr>
        <w:tab/>
        <w:t>Berechne ΔG der folgenden Reaktion bei 250°C und 850°C.</w:t>
      </w:r>
    </w:p>
    <w:p w:rsidR="005500CC" w:rsidRDefault="005500CC" w:rsidP="005500CC">
      <w:pPr>
        <w:tabs>
          <w:tab w:val="left" w:pos="1701"/>
          <w:tab w:val="left" w:pos="1985"/>
        </w:tabs>
        <w:ind w:left="1695" w:hanging="1695"/>
        <w:rPr>
          <w:sz w:val="24"/>
          <w:szCs w:val="24"/>
          <w:vertAlign w:val="subscript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C</w:t>
      </w:r>
      <w:r>
        <w:rPr>
          <w:sz w:val="24"/>
          <w:szCs w:val="24"/>
          <w:vertAlign w:val="subscript"/>
        </w:rPr>
        <w:t xml:space="preserve"> (s) </w:t>
      </w:r>
      <w:r>
        <w:rPr>
          <w:sz w:val="24"/>
          <w:szCs w:val="24"/>
        </w:rPr>
        <w:t>+ C0</w:t>
      </w:r>
      <w:r>
        <w:rPr>
          <w:sz w:val="24"/>
          <w:szCs w:val="24"/>
          <w:vertAlign w:val="subscript"/>
        </w:rPr>
        <w:t xml:space="preserve">2 (g) </w:t>
      </w:r>
      <w:r w:rsidRPr="000D3CCE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2 CO </w:t>
      </w:r>
      <w:r>
        <w:rPr>
          <w:sz w:val="24"/>
          <w:szCs w:val="24"/>
          <w:vertAlign w:val="subscript"/>
        </w:rPr>
        <w:t>(g)</w:t>
      </w:r>
    </w:p>
    <w:p w:rsidR="005500CC" w:rsidRDefault="005500CC" w:rsidP="005500CC">
      <w:pPr>
        <w:tabs>
          <w:tab w:val="left" w:pos="1701"/>
          <w:tab w:val="left" w:pos="1985"/>
        </w:tabs>
        <w:spacing w:after="0"/>
        <w:ind w:left="1695" w:hanging="1695"/>
        <w:rPr>
          <w:sz w:val="24"/>
          <w:szCs w:val="24"/>
        </w:rPr>
      </w:pPr>
      <w:r>
        <w:rPr>
          <w:sz w:val="24"/>
          <w:szCs w:val="24"/>
          <w:vertAlign w:val="subscript"/>
        </w:rPr>
        <w:tab/>
      </w:r>
      <w:r>
        <w:rPr>
          <w:sz w:val="24"/>
          <w:szCs w:val="24"/>
        </w:rPr>
        <w:t>Verwende dazu geeignete Werte aus folgender Tabelle. Überlege gut, denn nicht alle Werte sind korrekt!</w:t>
      </w:r>
    </w:p>
    <w:p w:rsidR="005500CC" w:rsidRPr="000D3CCE" w:rsidRDefault="005500CC" w:rsidP="005500CC">
      <w:pPr>
        <w:tabs>
          <w:tab w:val="left" w:pos="1701"/>
          <w:tab w:val="left" w:pos="1985"/>
        </w:tabs>
        <w:spacing w:after="0"/>
        <w:ind w:left="1695" w:hanging="1695"/>
        <w:rPr>
          <w:color w:val="auto"/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lengitternetz"/>
        <w:tblW w:w="0" w:type="auto"/>
        <w:tblInd w:w="1695" w:type="dxa"/>
        <w:tblLook w:val="04A0"/>
      </w:tblPr>
      <w:tblGrid>
        <w:gridCol w:w="1830"/>
        <w:gridCol w:w="1836"/>
        <w:gridCol w:w="1967"/>
        <w:gridCol w:w="1960"/>
      </w:tblGrid>
      <w:tr w:rsidR="005500CC" w:rsidTr="009F1029">
        <w:tc>
          <w:tcPr>
            <w:tcW w:w="2303" w:type="dxa"/>
          </w:tcPr>
          <w:p w:rsidR="005500CC" w:rsidRDefault="005500CC" w:rsidP="009F1029">
            <w:pPr>
              <w:tabs>
                <w:tab w:val="left" w:pos="1701"/>
                <w:tab w:val="left" w:pos="1985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</w:tcPr>
          <w:p w:rsidR="005500CC" w:rsidRPr="002912F1" w:rsidRDefault="005500CC" w:rsidP="009F1029">
            <w:pPr>
              <w:tabs>
                <w:tab w:val="left" w:pos="1701"/>
                <w:tab w:val="left" w:pos="1985"/>
              </w:tabs>
              <w:rPr>
                <w:color w:val="auto"/>
                <w:sz w:val="24"/>
                <w:szCs w:val="24"/>
                <w:vertAlign w:val="superscript"/>
              </w:rPr>
            </w:pPr>
            <w:r>
              <w:rPr>
                <w:color w:val="auto"/>
                <w:sz w:val="24"/>
                <w:szCs w:val="24"/>
              </w:rPr>
              <w:t>H</w:t>
            </w:r>
            <w:r>
              <w:rPr>
                <w:color w:val="auto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303" w:type="dxa"/>
          </w:tcPr>
          <w:p w:rsidR="005500CC" w:rsidRPr="002912F1" w:rsidRDefault="005500CC" w:rsidP="009F1029">
            <w:pPr>
              <w:tabs>
                <w:tab w:val="left" w:pos="1701"/>
                <w:tab w:val="left" w:pos="1985"/>
              </w:tabs>
              <w:rPr>
                <w:color w:val="auto"/>
                <w:sz w:val="24"/>
                <w:szCs w:val="24"/>
                <w:vertAlign w:val="superscript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>
              <w:rPr>
                <w:color w:val="auto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303" w:type="dxa"/>
          </w:tcPr>
          <w:p w:rsidR="005500CC" w:rsidRDefault="005500CC" w:rsidP="009F1029">
            <w:pPr>
              <w:tabs>
                <w:tab w:val="left" w:pos="1701"/>
                <w:tab w:val="left" w:pos="1985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</w:t>
            </w:r>
          </w:p>
        </w:tc>
      </w:tr>
      <w:tr w:rsidR="005500CC" w:rsidTr="009F1029">
        <w:tc>
          <w:tcPr>
            <w:tcW w:w="2303" w:type="dxa"/>
          </w:tcPr>
          <w:p w:rsidR="005500CC" w:rsidRPr="002912F1" w:rsidRDefault="005500CC" w:rsidP="009F1029">
            <w:pPr>
              <w:tabs>
                <w:tab w:val="left" w:pos="1701"/>
                <w:tab w:val="left" w:pos="1985"/>
              </w:tabs>
              <w:rPr>
                <w:color w:val="auto"/>
                <w:sz w:val="24"/>
                <w:szCs w:val="24"/>
                <w:vertAlign w:val="subscript"/>
              </w:rPr>
            </w:pPr>
            <w:r>
              <w:rPr>
                <w:color w:val="auto"/>
                <w:sz w:val="24"/>
                <w:szCs w:val="24"/>
              </w:rPr>
              <w:t>H</w:t>
            </w:r>
            <w:r>
              <w:rPr>
                <w:color w:val="auto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03" w:type="dxa"/>
          </w:tcPr>
          <w:p w:rsidR="005500CC" w:rsidRDefault="005500CC" w:rsidP="009F1029">
            <w:pPr>
              <w:tabs>
                <w:tab w:val="left" w:pos="1701"/>
                <w:tab w:val="left" w:pos="1985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kJ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mol</m:t>
                  </m:r>
                </m:den>
              </m:f>
            </m:oMath>
          </w:p>
          <w:p w:rsidR="005500CC" w:rsidRDefault="005500CC" w:rsidP="009F1029">
            <w:pPr>
              <w:tabs>
                <w:tab w:val="left" w:pos="1701"/>
                <w:tab w:val="left" w:pos="1985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-212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kJ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mol</m:t>
                  </m:r>
                </m:den>
              </m:f>
            </m:oMath>
          </w:p>
        </w:tc>
        <w:tc>
          <w:tcPr>
            <w:tcW w:w="2303" w:type="dxa"/>
          </w:tcPr>
          <w:p w:rsidR="005500CC" w:rsidRDefault="005500CC" w:rsidP="009F1029">
            <w:pPr>
              <w:tabs>
                <w:tab w:val="left" w:pos="1701"/>
                <w:tab w:val="left" w:pos="1985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131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J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K∙mol</m:t>
                  </m:r>
                </m:den>
              </m:f>
            </m:oMath>
          </w:p>
        </w:tc>
        <w:tc>
          <w:tcPr>
            <w:tcW w:w="2303" w:type="dxa"/>
          </w:tcPr>
          <w:p w:rsidR="005500CC" w:rsidRDefault="005500CC" w:rsidP="009F1029">
            <w:pPr>
              <w:tabs>
                <w:tab w:val="left" w:pos="1701"/>
                <w:tab w:val="left" w:pos="1985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523,00 K</w:t>
            </w:r>
          </w:p>
        </w:tc>
      </w:tr>
      <w:tr w:rsidR="005500CC" w:rsidTr="009F1029">
        <w:tc>
          <w:tcPr>
            <w:tcW w:w="2303" w:type="dxa"/>
          </w:tcPr>
          <w:p w:rsidR="005500CC" w:rsidRPr="002912F1" w:rsidRDefault="005500CC" w:rsidP="009F1029">
            <w:pPr>
              <w:tabs>
                <w:tab w:val="left" w:pos="1701"/>
                <w:tab w:val="left" w:pos="1985"/>
              </w:tabs>
              <w:rPr>
                <w:color w:val="auto"/>
                <w:sz w:val="24"/>
                <w:szCs w:val="24"/>
                <w:vertAlign w:val="subscript"/>
              </w:rPr>
            </w:pPr>
            <w:r>
              <w:rPr>
                <w:color w:val="auto"/>
                <w:sz w:val="24"/>
                <w:szCs w:val="24"/>
              </w:rPr>
              <w:t>C</w:t>
            </w:r>
          </w:p>
        </w:tc>
        <w:tc>
          <w:tcPr>
            <w:tcW w:w="2303" w:type="dxa"/>
          </w:tcPr>
          <w:p w:rsidR="005500CC" w:rsidRDefault="005500CC" w:rsidP="009F1029">
            <w:pPr>
              <w:tabs>
                <w:tab w:val="left" w:pos="1701"/>
                <w:tab w:val="left" w:pos="1985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-57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kJ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mol</m:t>
                  </m:r>
                </m:den>
              </m:f>
            </m:oMath>
          </w:p>
          <w:p w:rsidR="005500CC" w:rsidRDefault="005500CC" w:rsidP="009F1029">
            <w:pPr>
              <w:tabs>
                <w:tab w:val="left" w:pos="1701"/>
                <w:tab w:val="left" w:pos="1985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kJ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mol</m:t>
                  </m:r>
                </m:den>
              </m:f>
            </m:oMath>
          </w:p>
        </w:tc>
        <w:tc>
          <w:tcPr>
            <w:tcW w:w="2303" w:type="dxa"/>
          </w:tcPr>
          <w:p w:rsidR="005500CC" w:rsidRDefault="005500CC" w:rsidP="009F1029">
            <w:pPr>
              <w:tabs>
                <w:tab w:val="left" w:pos="1701"/>
                <w:tab w:val="left" w:pos="1985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J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K∙mol</m:t>
                  </m:r>
                </m:den>
              </m:f>
            </m:oMath>
          </w:p>
        </w:tc>
        <w:tc>
          <w:tcPr>
            <w:tcW w:w="2303" w:type="dxa"/>
          </w:tcPr>
          <w:p w:rsidR="005500CC" w:rsidRDefault="005500CC" w:rsidP="009F1029">
            <w:pPr>
              <w:tabs>
                <w:tab w:val="left" w:pos="1701"/>
                <w:tab w:val="left" w:pos="1985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523,15 K</w:t>
            </w:r>
          </w:p>
        </w:tc>
      </w:tr>
      <w:tr w:rsidR="005500CC" w:rsidTr="009F1029">
        <w:tc>
          <w:tcPr>
            <w:tcW w:w="2303" w:type="dxa"/>
          </w:tcPr>
          <w:p w:rsidR="005500CC" w:rsidRPr="00FB4F19" w:rsidRDefault="005500CC" w:rsidP="009F1029">
            <w:pPr>
              <w:tabs>
                <w:tab w:val="left" w:pos="1701"/>
                <w:tab w:val="left" w:pos="1985"/>
              </w:tabs>
              <w:rPr>
                <w:color w:val="auto"/>
                <w:sz w:val="24"/>
                <w:szCs w:val="24"/>
                <w:vertAlign w:val="subscript"/>
              </w:rPr>
            </w:pPr>
            <w:r>
              <w:rPr>
                <w:color w:val="auto"/>
                <w:sz w:val="24"/>
                <w:szCs w:val="24"/>
              </w:rPr>
              <w:t>CO</w:t>
            </w:r>
            <w:r>
              <w:rPr>
                <w:color w:val="auto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03" w:type="dxa"/>
          </w:tcPr>
          <w:p w:rsidR="005500CC" w:rsidRDefault="005500CC" w:rsidP="009F1029">
            <w:pPr>
              <w:tabs>
                <w:tab w:val="left" w:pos="1701"/>
                <w:tab w:val="left" w:pos="1985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kJ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mol</m:t>
                  </m:r>
                </m:den>
              </m:f>
            </m:oMath>
          </w:p>
          <w:p w:rsidR="005500CC" w:rsidRDefault="005500CC" w:rsidP="009F1029">
            <w:pPr>
              <w:tabs>
                <w:tab w:val="left" w:pos="1701"/>
                <w:tab w:val="left" w:pos="1985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-393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kJ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mol</m:t>
                  </m:r>
                </m:den>
              </m:f>
            </m:oMath>
          </w:p>
        </w:tc>
        <w:tc>
          <w:tcPr>
            <w:tcW w:w="2303" w:type="dxa"/>
          </w:tcPr>
          <w:p w:rsidR="005500CC" w:rsidRDefault="005500CC" w:rsidP="009F1029">
            <w:pPr>
              <w:tabs>
                <w:tab w:val="left" w:pos="1701"/>
                <w:tab w:val="left" w:pos="1985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214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J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K∙mol</m:t>
                  </m:r>
                </m:den>
              </m:f>
            </m:oMath>
          </w:p>
        </w:tc>
        <w:tc>
          <w:tcPr>
            <w:tcW w:w="2303" w:type="dxa"/>
          </w:tcPr>
          <w:p w:rsidR="005500CC" w:rsidRDefault="005500CC" w:rsidP="009F1029">
            <w:pPr>
              <w:tabs>
                <w:tab w:val="left" w:pos="1701"/>
                <w:tab w:val="left" w:pos="1985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1123,15 K</w:t>
            </w:r>
          </w:p>
        </w:tc>
      </w:tr>
      <w:tr w:rsidR="005500CC" w:rsidTr="009F1029">
        <w:tc>
          <w:tcPr>
            <w:tcW w:w="2303" w:type="dxa"/>
          </w:tcPr>
          <w:p w:rsidR="005500CC" w:rsidRPr="002912F1" w:rsidRDefault="005500CC" w:rsidP="009F1029">
            <w:pPr>
              <w:tabs>
                <w:tab w:val="left" w:pos="1701"/>
                <w:tab w:val="left" w:pos="1985"/>
              </w:tabs>
              <w:rPr>
                <w:color w:val="auto"/>
                <w:sz w:val="24"/>
                <w:szCs w:val="24"/>
                <w:vertAlign w:val="subscript"/>
              </w:rPr>
            </w:pPr>
            <w:r>
              <w:rPr>
                <w:color w:val="auto"/>
                <w:sz w:val="24"/>
                <w:szCs w:val="24"/>
              </w:rPr>
              <w:t xml:space="preserve">CO </w:t>
            </w:r>
            <w:r>
              <w:rPr>
                <w:color w:val="auto"/>
                <w:sz w:val="24"/>
                <w:szCs w:val="24"/>
                <w:vertAlign w:val="subscript"/>
              </w:rPr>
              <w:t>(g)</w:t>
            </w:r>
          </w:p>
        </w:tc>
        <w:tc>
          <w:tcPr>
            <w:tcW w:w="2303" w:type="dxa"/>
          </w:tcPr>
          <w:p w:rsidR="005500CC" w:rsidRDefault="005500CC" w:rsidP="009F1029">
            <w:pPr>
              <w:tabs>
                <w:tab w:val="left" w:pos="1701"/>
                <w:tab w:val="left" w:pos="1985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-111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kJ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mol</m:t>
                  </m:r>
                </m:den>
              </m:f>
            </m:oMath>
          </w:p>
        </w:tc>
        <w:tc>
          <w:tcPr>
            <w:tcW w:w="2303" w:type="dxa"/>
          </w:tcPr>
          <w:p w:rsidR="005500CC" w:rsidRDefault="005500CC" w:rsidP="009F1029">
            <w:pPr>
              <w:tabs>
                <w:tab w:val="left" w:pos="1701"/>
                <w:tab w:val="left" w:pos="1985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198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J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K∙mol</m:t>
                  </m:r>
                </m:den>
              </m:f>
            </m:oMath>
          </w:p>
        </w:tc>
        <w:tc>
          <w:tcPr>
            <w:tcW w:w="2303" w:type="dxa"/>
          </w:tcPr>
          <w:p w:rsidR="005500CC" w:rsidRDefault="005500CC" w:rsidP="009F1029">
            <w:pPr>
              <w:tabs>
                <w:tab w:val="left" w:pos="1701"/>
                <w:tab w:val="left" w:pos="1985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1123,75 K</w:t>
            </w:r>
          </w:p>
        </w:tc>
      </w:tr>
    </w:tbl>
    <w:p w:rsidR="005500CC" w:rsidRPr="000D3CCE" w:rsidRDefault="005500CC" w:rsidP="005500CC">
      <w:pPr>
        <w:tabs>
          <w:tab w:val="left" w:pos="1701"/>
          <w:tab w:val="left" w:pos="1985"/>
        </w:tabs>
        <w:ind w:left="1695" w:hanging="1695"/>
        <w:rPr>
          <w:color w:val="auto"/>
          <w:sz w:val="24"/>
          <w:szCs w:val="24"/>
        </w:rPr>
      </w:pPr>
    </w:p>
    <w:p w:rsidR="005500CC" w:rsidRDefault="005500CC" w:rsidP="005500CC">
      <w:pPr>
        <w:tabs>
          <w:tab w:val="left" w:pos="1701"/>
          <w:tab w:val="left" w:pos="1985"/>
        </w:tabs>
        <w:ind w:left="1695" w:hanging="1695"/>
        <w:rPr>
          <w:color w:val="auto"/>
          <w:sz w:val="24"/>
          <w:szCs w:val="24"/>
        </w:rPr>
      </w:pPr>
      <w:r w:rsidRPr="0067340C">
        <w:rPr>
          <w:b/>
          <w:color w:val="auto"/>
          <w:sz w:val="24"/>
          <w:szCs w:val="24"/>
        </w:rPr>
        <w:t>Aufgabe 4:</w:t>
      </w:r>
      <w:r w:rsidRPr="0067340C">
        <w:rPr>
          <w:color w:val="auto"/>
          <w:sz w:val="24"/>
          <w:szCs w:val="24"/>
        </w:rPr>
        <w:tab/>
      </w:r>
      <w:r w:rsidRPr="0067340C">
        <w:rPr>
          <w:color w:val="auto"/>
          <w:sz w:val="24"/>
          <w:szCs w:val="24"/>
        </w:rPr>
        <w:tab/>
        <w:t xml:space="preserve">Läuft die Reaktion </w:t>
      </w:r>
      <w:r>
        <w:rPr>
          <w:color w:val="auto"/>
          <w:sz w:val="24"/>
          <w:szCs w:val="24"/>
        </w:rPr>
        <w:t xml:space="preserve">bei den Temperaturen </w:t>
      </w:r>
      <w:r w:rsidRPr="0067340C">
        <w:rPr>
          <w:color w:val="auto"/>
          <w:sz w:val="24"/>
          <w:szCs w:val="24"/>
        </w:rPr>
        <w:t xml:space="preserve">freiwillig ab? </w:t>
      </w:r>
      <w:r>
        <w:rPr>
          <w:color w:val="auto"/>
          <w:sz w:val="24"/>
          <w:szCs w:val="24"/>
        </w:rPr>
        <w:t>Begründe deine Antwort unter Verwendung</w:t>
      </w:r>
      <w:r w:rsidRPr="0067340C">
        <w:rPr>
          <w:color w:val="auto"/>
          <w:sz w:val="24"/>
          <w:szCs w:val="24"/>
        </w:rPr>
        <w:t xml:space="preserve"> der Begriffe </w:t>
      </w:r>
      <w:r>
        <w:rPr>
          <w:color w:val="auto"/>
          <w:sz w:val="24"/>
          <w:szCs w:val="24"/>
        </w:rPr>
        <w:t xml:space="preserve">exotherm, endotherm, </w:t>
      </w:r>
      <w:proofErr w:type="spellStart"/>
      <w:r w:rsidRPr="0067340C">
        <w:rPr>
          <w:color w:val="auto"/>
          <w:sz w:val="24"/>
          <w:szCs w:val="24"/>
        </w:rPr>
        <w:t>exergon</w:t>
      </w:r>
      <w:proofErr w:type="spellEnd"/>
      <w:r w:rsidRPr="0067340C">
        <w:rPr>
          <w:color w:val="auto"/>
          <w:sz w:val="24"/>
          <w:szCs w:val="24"/>
        </w:rPr>
        <w:t xml:space="preserve"> und </w:t>
      </w:r>
      <w:proofErr w:type="spellStart"/>
      <w:r w:rsidRPr="0067340C">
        <w:rPr>
          <w:color w:val="auto"/>
          <w:sz w:val="24"/>
          <w:szCs w:val="24"/>
        </w:rPr>
        <w:t>endergon</w:t>
      </w:r>
      <w:proofErr w:type="spellEnd"/>
      <w:r w:rsidRPr="0067340C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 xml:space="preserve"> </w:t>
      </w:r>
    </w:p>
    <w:p w:rsidR="005500CC" w:rsidRDefault="005500CC" w:rsidP="005500CC">
      <w:pPr>
        <w:tabs>
          <w:tab w:val="left" w:pos="1701"/>
          <w:tab w:val="left" w:pos="1985"/>
        </w:tabs>
        <w:ind w:left="1695" w:hanging="1695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Aufgabe 5:</w:t>
      </w:r>
      <w:r>
        <w:rPr>
          <w:color w:val="auto"/>
          <w:sz w:val="24"/>
          <w:szCs w:val="24"/>
        </w:rPr>
        <w:tab/>
        <w:t>Kohlenstoffmonoxid (CO) wird in der chemischen Industrie häufig ve</w:t>
      </w:r>
      <w:r>
        <w:rPr>
          <w:color w:val="auto"/>
          <w:sz w:val="24"/>
          <w:szCs w:val="24"/>
        </w:rPr>
        <w:t>r</w:t>
      </w:r>
      <w:r>
        <w:rPr>
          <w:color w:val="auto"/>
          <w:sz w:val="24"/>
          <w:szCs w:val="24"/>
        </w:rPr>
        <w:t>wendet und muss so auch hergestellt werden. Es gibt verschiedene Möglichkeiten dies zu tun. Nimm – unter Berücksichtigung deiner E</w:t>
      </w:r>
      <w:r>
        <w:rPr>
          <w:color w:val="auto"/>
          <w:sz w:val="24"/>
          <w:szCs w:val="24"/>
        </w:rPr>
        <w:t>r</w:t>
      </w:r>
      <w:r>
        <w:rPr>
          <w:color w:val="auto"/>
          <w:sz w:val="24"/>
          <w:szCs w:val="24"/>
        </w:rPr>
        <w:t xml:space="preserve">gebnisse aus Aufgabe 4 – Stellung zu der Frage, ob die Herstellung aus Kohlenstoff und Kohlenstoffdioxid energieeffizient ist. </w:t>
      </w:r>
    </w:p>
    <w:p w:rsidR="005500CC" w:rsidRPr="0067340C" w:rsidRDefault="005500CC" w:rsidP="005500CC">
      <w:pPr>
        <w:tabs>
          <w:tab w:val="left" w:pos="1701"/>
          <w:tab w:val="left" w:pos="1985"/>
        </w:tabs>
        <w:ind w:left="1695" w:hanging="1695"/>
        <w:rPr>
          <w:color w:val="auto"/>
          <w:sz w:val="24"/>
          <w:szCs w:val="24"/>
        </w:rPr>
      </w:pPr>
    </w:p>
    <w:p w:rsidR="005500CC" w:rsidRPr="005240FE" w:rsidRDefault="005500CC" w:rsidP="005500CC">
      <w:pPr>
        <w:sectPr w:rsidR="005500CC" w:rsidRPr="005240FE" w:rsidSect="0049087A">
          <w:headerReference w:type="default" r:id="rId5"/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  <w:r>
        <w:t xml:space="preserve"> </w:t>
      </w:r>
    </w:p>
    <w:p w:rsidR="005500CC" w:rsidRDefault="005500CC" w:rsidP="005500CC">
      <w:pPr>
        <w:pStyle w:val="berschrift1"/>
      </w:pPr>
      <w:bookmarkStart w:id="0" w:name="_Toc396751102"/>
      <w:r>
        <w:lastRenderedPageBreak/>
        <w:t>Didaktischer Kommentar des Arbeitsblattes</w:t>
      </w:r>
      <w:bookmarkEnd w:id="0"/>
    </w:p>
    <w:p w:rsidR="005500CC" w:rsidRDefault="005500CC" w:rsidP="005500CC">
      <w:pPr>
        <w:rPr>
          <w:color w:val="auto"/>
        </w:rPr>
      </w:pPr>
      <w:r w:rsidRPr="00E9538E">
        <w:rPr>
          <w:color w:val="auto"/>
        </w:rPr>
        <w:t>Das Arbeitsblatt lässt sich in Zu</w:t>
      </w:r>
      <w:r>
        <w:rPr>
          <w:color w:val="auto"/>
        </w:rPr>
        <w:t>sammenhang mit Versuch 4 einsetz</w:t>
      </w:r>
      <w:r w:rsidRPr="00E9538E">
        <w:rPr>
          <w:color w:val="auto"/>
        </w:rPr>
        <w:t>en. Es beschäftigt sich mit der Gibbs-Helmholtz-Gleichung und sollte daher nur in Kursen mit erhöhtem Anforderungsniveau eingesetzt werden. Es kann vertiefend oder auch als Übung eingesetzt werden. Die Lernziele des Arbeitsblattes sind dabei die Folgenden:</w:t>
      </w:r>
    </w:p>
    <w:p w:rsidR="005500CC" w:rsidRPr="00560A70" w:rsidRDefault="005500CC" w:rsidP="005500CC">
      <w:pPr>
        <w:pStyle w:val="Listenabsatz"/>
        <w:numPr>
          <w:ilvl w:val="0"/>
          <w:numId w:val="2"/>
        </w:numPr>
        <w:rPr>
          <w:color w:val="auto"/>
        </w:rPr>
      </w:pPr>
      <w:r>
        <w:rPr>
          <w:rFonts w:ascii="Cambria" w:hAnsi="Cambria"/>
          <w:color w:val="auto"/>
        </w:rPr>
        <w:t xml:space="preserve">Die </w:t>
      </w:r>
      <w:proofErr w:type="spellStart"/>
      <w:r>
        <w:rPr>
          <w:rFonts w:ascii="Cambria" w:hAnsi="Cambria"/>
          <w:color w:val="auto"/>
        </w:rPr>
        <w:t>SuS</w:t>
      </w:r>
      <w:proofErr w:type="spellEnd"/>
      <w:r>
        <w:rPr>
          <w:rFonts w:ascii="Cambria" w:hAnsi="Cambria"/>
          <w:color w:val="auto"/>
        </w:rPr>
        <w:t xml:space="preserve"> kennen die Gibbs-Helmholtz-Gleichung und können mit ihr Berechnungen durchführen.</w:t>
      </w:r>
    </w:p>
    <w:p w:rsidR="005500CC" w:rsidRPr="00560A70" w:rsidRDefault="005500CC" w:rsidP="005500CC">
      <w:pPr>
        <w:pStyle w:val="Listenabsatz"/>
        <w:numPr>
          <w:ilvl w:val="0"/>
          <w:numId w:val="2"/>
        </w:numPr>
        <w:rPr>
          <w:color w:val="auto"/>
        </w:rPr>
      </w:pPr>
      <w:r>
        <w:rPr>
          <w:rFonts w:ascii="Cambria" w:hAnsi="Cambria"/>
          <w:color w:val="auto"/>
        </w:rPr>
        <w:t xml:space="preserve">Die </w:t>
      </w:r>
      <w:proofErr w:type="spellStart"/>
      <w:r>
        <w:rPr>
          <w:rFonts w:ascii="Cambria" w:hAnsi="Cambria"/>
          <w:color w:val="auto"/>
        </w:rPr>
        <w:t>SuS</w:t>
      </w:r>
      <w:proofErr w:type="spellEnd"/>
      <w:r>
        <w:rPr>
          <w:rFonts w:ascii="Cambria" w:hAnsi="Cambria"/>
          <w:color w:val="auto"/>
        </w:rPr>
        <w:t xml:space="preserve"> finden in einer Tabelle die für sie relevanten Daten.</w:t>
      </w:r>
    </w:p>
    <w:p w:rsidR="005500CC" w:rsidRPr="00E9538E" w:rsidRDefault="005500CC" w:rsidP="005500CC">
      <w:pPr>
        <w:pStyle w:val="Listenabsatz"/>
        <w:numPr>
          <w:ilvl w:val="0"/>
          <w:numId w:val="2"/>
        </w:numPr>
        <w:rPr>
          <w:color w:val="auto"/>
        </w:rPr>
      </w:pPr>
      <w:r>
        <w:rPr>
          <w:rFonts w:ascii="Cambria" w:hAnsi="Cambria"/>
          <w:color w:val="auto"/>
        </w:rPr>
        <w:t xml:space="preserve">Die </w:t>
      </w:r>
      <w:proofErr w:type="spellStart"/>
      <w:r>
        <w:rPr>
          <w:rFonts w:ascii="Cambria" w:hAnsi="Cambria"/>
          <w:color w:val="auto"/>
        </w:rPr>
        <w:t>SuS</w:t>
      </w:r>
      <w:proofErr w:type="spellEnd"/>
      <w:r>
        <w:rPr>
          <w:rFonts w:ascii="Cambria" w:hAnsi="Cambria"/>
          <w:color w:val="auto"/>
        </w:rPr>
        <w:t xml:space="preserve"> unterscheiden die Begriffe </w:t>
      </w:r>
      <w:proofErr w:type="spellStart"/>
      <w:r>
        <w:rPr>
          <w:rFonts w:ascii="Cambria" w:hAnsi="Cambria"/>
          <w:color w:val="auto"/>
        </w:rPr>
        <w:t>energon</w:t>
      </w:r>
      <w:proofErr w:type="spellEnd"/>
      <w:r>
        <w:rPr>
          <w:rFonts w:ascii="Cambria" w:hAnsi="Cambria"/>
          <w:color w:val="auto"/>
        </w:rPr>
        <w:t xml:space="preserve"> und </w:t>
      </w:r>
      <w:proofErr w:type="spellStart"/>
      <w:r>
        <w:rPr>
          <w:rFonts w:ascii="Cambria" w:hAnsi="Cambria"/>
          <w:color w:val="auto"/>
        </w:rPr>
        <w:t>exergon</w:t>
      </w:r>
      <w:proofErr w:type="spellEnd"/>
      <w:r>
        <w:rPr>
          <w:rFonts w:ascii="Cambria" w:hAnsi="Cambria"/>
          <w:color w:val="auto"/>
        </w:rPr>
        <w:t xml:space="preserve"> und übertragen sie auf Reakti</w:t>
      </w:r>
      <w:r>
        <w:rPr>
          <w:rFonts w:ascii="Cambria" w:hAnsi="Cambria"/>
          <w:color w:val="auto"/>
        </w:rPr>
        <w:t>o</w:t>
      </w:r>
      <w:r>
        <w:rPr>
          <w:rFonts w:ascii="Cambria" w:hAnsi="Cambria"/>
          <w:color w:val="auto"/>
        </w:rPr>
        <w:t>nen.</w:t>
      </w:r>
    </w:p>
    <w:p w:rsidR="005500CC" w:rsidRDefault="005500CC" w:rsidP="005500CC">
      <w:pPr>
        <w:pStyle w:val="berschrift2"/>
      </w:pPr>
      <w:bookmarkStart w:id="1" w:name="_Toc396751103"/>
      <w:r>
        <w:t>Erwartungshorizont (Kerncurriculum)</w:t>
      </w:r>
      <w:bookmarkEnd w:id="1"/>
    </w:p>
    <w:p w:rsidR="005500CC" w:rsidRDefault="005500CC" w:rsidP="005500CC">
      <w:pPr>
        <w:tabs>
          <w:tab w:val="left" w:pos="0"/>
        </w:tabs>
        <w:ind w:left="576"/>
        <w:rPr>
          <w:color w:val="auto"/>
        </w:rPr>
      </w:pPr>
      <w:r>
        <w:rPr>
          <w:color w:val="auto"/>
        </w:rPr>
        <w:t>Mit diesem Arbeitsblatt  werden verschiedene Kompetenzbereiche des Kerncurriculums gefördert. Das thematisierte Basiskonzept ist hierbei das Energie-Konzept. Aufgabe 1 und Aufgabe 2 beziehen sich auf den Kompetenzbereich Fachwissen, indem gefordert wird, dass die Schüler und Schülerinnen Standard-Bildungsenthalpie und Entropie definieren können, sowie die Gibbs-Helmholtz-Gleichung kennen. Aufgabe 3 findet sich im Komp</w:t>
      </w:r>
      <w:r>
        <w:rPr>
          <w:color w:val="auto"/>
        </w:rPr>
        <w:t>e</w:t>
      </w:r>
      <w:r>
        <w:rPr>
          <w:color w:val="auto"/>
        </w:rPr>
        <w:t xml:space="preserve">tenzbereich Erkenntnisgewinnung wieder (Nutzen von tabellierten Daten zur </w:t>
      </w:r>
      <w:proofErr w:type="spellStart"/>
      <w:r>
        <w:rPr>
          <w:color w:val="auto"/>
        </w:rPr>
        <w:t>Enthalpieberechnung</w:t>
      </w:r>
      <w:proofErr w:type="spellEnd"/>
      <w:r>
        <w:rPr>
          <w:color w:val="auto"/>
        </w:rPr>
        <w:t xml:space="preserve"> und Anwendung der Gibbs-Helmholtz-Gleichung). Aufgabe 4 kann im Kompetenzbereich Fachwissen (Wechselspiel zwischen Enthalpie und Entropie) ve</w:t>
      </w:r>
      <w:r>
        <w:rPr>
          <w:color w:val="auto"/>
        </w:rPr>
        <w:t>r</w:t>
      </w:r>
      <w:r>
        <w:rPr>
          <w:color w:val="auto"/>
        </w:rPr>
        <w:t xml:space="preserve">ankert werden. Aufgabe 5 fällt in den Kompetenzbereich Bewertung (Beurteilung der </w:t>
      </w:r>
      <w:proofErr w:type="spellStart"/>
      <w:r>
        <w:rPr>
          <w:color w:val="auto"/>
        </w:rPr>
        <w:t>Energieeffizenz</w:t>
      </w:r>
      <w:proofErr w:type="spellEnd"/>
      <w:r>
        <w:rPr>
          <w:color w:val="auto"/>
        </w:rPr>
        <w:t xml:space="preserve"> von Prozessen).</w:t>
      </w:r>
    </w:p>
    <w:p w:rsidR="005500CC" w:rsidRDefault="005500CC" w:rsidP="005500CC">
      <w:pPr>
        <w:tabs>
          <w:tab w:val="left" w:pos="0"/>
        </w:tabs>
        <w:ind w:left="576"/>
        <w:rPr>
          <w:color w:val="auto"/>
        </w:rPr>
      </w:pPr>
      <w:r>
        <w:rPr>
          <w:color w:val="auto"/>
        </w:rPr>
        <w:t>In Aufgabe 1 und Aufgabe 2 soll erlerntes Wissen wieder gegeben werden, sie fallen also in den Anforderungsbereich I (Reproduktion).  Aufgabe 3 und 4 fallen in den Anforderung</w:t>
      </w:r>
      <w:r>
        <w:rPr>
          <w:color w:val="auto"/>
        </w:rPr>
        <w:t>s</w:t>
      </w:r>
      <w:r>
        <w:rPr>
          <w:color w:val="auto"/>
        </w:rPr>
        <w:t>bereich II (Anwendung/Verständnis), da hier mit Hilfe geeigneter Werte Berechnungen angestellt werden sowie diese erläutert werden. Aufgabe 5 gehört abschließend in den A</w:t>
      </w:r>
      <w:r>
        <w:rPr>
          <w:color w:val="auto"/>
        </w:rPr>
        <w:t>n</w:t>
      </w:r>
      <w:r>
        <w:rPr>
          <w:color w:val="auto"/>
        </w:rPr>
        <w:t>forderungsbereich III (Transfer), da hier eine Übertragung auf die Lebenswelt und eine Beurteilung stattfindet.</w:t>
      </w:r>
    </w:p>
    <w:p w:rsidR="005500CC" w:rsidRDefault="005500CC" w:rsidP="005500CC">
      <w:pPr>
        <w:tabs>
          <w:tab w:val="left" w:pos="0"/>
        </w:tabs>
        <w:ind w:left="576"/>
        <w:rPr>
          <w:color w:val="auto"/>
        </w:rPr>
      </w:pPr>
    </w:p>
    <w:p w:rsidR="005500CC" w:rsidRDefault="005500CC" w:rsidP="005500CC">
      <w:pPr>
        <w:tabs>
          <w:tab w:val="left" w:pos="0"/>
        </w:tabs>
        <w:ind w:left="576"/>
        <w:rPr>
          <w:color w:val="auto"/>
        </w:rPr>
      </w:pPr>
    </w:p>
    <w:p w:rsidR="005500CC" w:rsidRDefault="005500CC" w:rsidP="005500CC">
      <w:pPr>
        <w:tabs>
          <w:tab w:val="left" w:pos="0"/>
        </w:tabs>
        <w:ind w:left="576"/>
        <w:rPr>
          <w:color w:val="auto"/>
        </w:rPr>
      </w:pPr>
    </w:p>
    <w:p w:rsidR="005500CC" w:rsidRDefault="005500CC" w:rsidP="005500CC">
      <w:pPr>
        <w:tabs>
          <w:tab w:val="left" w:pos="0"/>
        </w:tabs>
        <w:ind w:left="576"/>
        <w:rPr>
          <w:i/>
          <w:color w:val="1F497D" w:themeColor="text2"/>
        </w:rPr>
      </w:pPr>
    </w:p>
    <w:p w:rsidR="005500CC" w:rsidRPr="00532CD5" w:rsidRDefault="005500CC" w:rsidP="005500CC">
      <w:pPr>
        <w:tabs>
          <w:tab w:val="left" w:pos="0"/>
        </w:tabs>
        <w:ind w:left="576"/>
        <w:rPr>
          <w:i/>
          <w:color w:val="1F497D" w:themeColor="text2"/>
        </w:rPr>
      </w:pPr>
    </w:p>
    <w:p w:rsidR="005500CC" w:rsidRDefault="005500CC" w:rsidP="005500CC">
      <w:pPr>
        <w:pStyle w:val="berschrift2"/>
      </w:pPr>
      <w:bookmarkStart w:id="2" w:name="_Toc396751104"/>
      <w:r>
        <w:lastRenderedPageBreak/>
        <w:t>Erwartungshorizont (Inhaltlich)</w:t>
      </w:r>
      <w:bookmarkEnd w:id="2"/>
    </w:p>
    <w:p w:rsidR="005500CC" w:rsidRPr="00C3342E" w:rsidRDefault="005500CC" w:rsidP="005500CC">
      <w:pPr>
        <w:rPr>
          <w:b/>
          <w:color w:val="auto"/>
          <w:sz w:val="20"/>
          <w:szCs w:val="20"/>
        </w:rPr>
      </w:pPr>
      <w:r w:rsidRPr="00C3342E">
        <w:rPr>
          <w:b/>
          <w:color w:val="auto"/>
          <w:sz w:val="20"/>
          <w:szCs w:val="20"/>
        </w:rPr>
        <w:t xml:space="preserve">Aufgabe 1: </w:t>
      </w:r>
    </w:p>
    <w:p w:rsidR="005500CC" w:rsidRPr="00C3342E" w:rsidRDefault="005500CC" w:rsidP="005500CC">
      <w:pPr>
        <w:ind w:left="1410"/>
        <w:rPr>
          <w:color w:val="auto"/>
          <w:sz w:val="20"/>
          <w:szCs w:val="20"/>
        </w:rPr>
      </w:pPr>
      <w:r w:rsidRPr="00C3342E">
        <w:rPr>
          <w:b/>
          <w:color w:val="auto"/>
          <w:sz w:val="20"/>
          <w:szCs w:val="20"/>
        </w:rPr>
        <w:t>Standard-Bildungsenthalpie</w:t>
      </w:r>
      <w:r w:rsidRPr="00C3342E">
        <w:rPr>
          <w:color w:val="auto"/>
          <w:sz w:val="20"/>
          <w:szCs w:val="20"/>
        </w:rPr>
        <w:t>: Die Standard-Bildungsenthalpie ist die Energie, die bei der Bildung von einem Mol einer Substanz bei Standardbedingungen freigesetzt wird. Sie wird mit H</w:t>
      </w:r>
      <w:r w:rsidRPr="00C3342E">
        <w:rPr>
          <w:color w:val="auto"/>
          <w:sz w:val="20"/>
          <w:szCs w:val="20"/>
          <w:vertAlign w:val="superscript"/>
        </w:rPr>
        <w:t xml:space="preserve">0 </w:t>
      </w:r>
      <w:r w:rsidRPr="00C3342E">
        <w:rPr>
          <w:color w:val="auto"/>
          <w:sz w:val="20"/>
          <w:szCs w:val="20"/>
        </w:rPr>
        <w:t xml:space="preserve">bezeichnet. </w:t>
      </w:r>
    </w:p>
    <w:p w:rsidR="005500CC" w:rsidRPr="00C3342E" w:rsidRDefault="005500CC" w:rsidP="005500CC">
      <w:pPr>
        <w:ind w:left="1410"/>
        <w:rPr>
          <w:color w:val="auto"/>
          <w:sz w:val="20"/>
          <w:szCs w:val="20"/>
        </w:rPr>
      </w:pPr>
      <w:r w:rsidRPr="00C3342E">
        <w:rPr>
          <w:b/>
          <w:color w:val="auto"/>
          <w:sz w:val="20"/>
          <w:szCs w:val="20"/>
        </w:rPr>
        <w:t>Entropie</w:t>
      </w:r>
      <w:r w:rsidRPr="00C3342E">
        <w:rPr>
          <w:color w:val="auto"/>
          <w:sz w:val="20"/>
          <w:szCs w:val="20"/>
        </w:rPr>
        <w:t xml:space="preserve">: Die Entropie ist ein Maß für die Unordnung eines Systems. Sie wird mit dem Symbol S bezeichnet. </w:t>
      </w:r>
    </w:p>
    <w:p w:rsidR="005500CC" w:rsidRPr="00C3342E" w:rsidRDefault="005500CC" w:rsidP="005500CC">
      <w:pPr>
        <w:rPr>
          <w:sz w:val="20"/>
          <w:szCs w:val="20"/>
        </w:rPr>
      </w:pPr>
      <w:r w:rsidRPr="00C3342E">
        <w:rPr>
          <w:b/>
          <w:color w:val="auto"/>
          <w:sz w:val="20"/>
          <w:szCs w:val="20"/>
        </w:rPr>
        <w:t>Aufgabe 2:</w:t>
      </w:r>
      <w:r>
        <w:rPr>
          <w:color w:val="auto"/>
          <w:sz w:val="20"/>
          <w:szCs w:val="20"/>
        </w:rPr>
        <w:tab/>
      </w:r>
      <w:r w:rsidRPr="00C3342E">
        <w:rPr>
          <w:color w:val="auto"/>
          <w:sz w:val="20"/>
          <w:szCs w:val="20"/>
        </w:rPr>
        <w:t>Die Gibbs-Helmholtz-Gleichung lautet:</w:t>
      </w:r>
      <w:r w:rsidRPr="00C3342E">
        <w:rPr>
          <w:b/>
          <w:color w:val="auto"/>
          <w:sz w:val="20"/>
          <w:szCs w:val="20"/>
        </w:rPr>
        <w:t xml:space="preserve"> </w:t>
      </w:r>
      <w:r w:rsidRPr="00C3342E">
        <w:rPr>
          <w:b/>
          <w:sz w:val="20"/>
          <w:szCs w:val="20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20"/>
            <w:szCs w:val="20"/>
          </w:rPr>
          <m:t>∆G=∆H-T∙∆S</m:t>
        </m:r>
      </m:oMath>
    </w:p>
    <w:p w:rsidR="005500CC" w:rsidRPr="00C3342E" w:rsidRDefault="005500CC" w:rsidP="005500CC">
      <w:pPr>
        <w:ind w:left="1416"/>
        <w:rPr>
          <w:sz w:val="20"/>
          <w:szCs w:val="20"/>
        </w:rPr>
      </w:pPr>
      <w:r w:rsidRPr="00C3342E">
        <w:rPr>
          <w:sz w:val="20"/>
          <w:szCs w:val="20"/>
        </w:rPr>
        <w:t>ΔG ist die freie Enthalpie, ΔH die Standardbildungsenthalpie und ΔS die Entropie</w:t>
      </w:r>
    </w:p>
    <w:p w:rsidR="005500CC" w:rsidRPr="00C3342E" w:rsidRDefault="005500CC" w:rsidP="005500CC">
      <w:pPr>
        <w:rPr>
          <w:sz w:val="20"/>
          <w:szCs w:val="20"/>
        </w:rPr>
      </w:pPr>
      <w:r w:rsidRPr="00C3342E">
        <w:rPr>
          <w:b/>
          <w:sz w:val="20"/>
          <w:szCs w:val="20"/>
        </w:rPr>
        <w:t xml:space="preserve">Aufgabe 3: </w:t>
      </w:r>
      <w:r>
        <w:rPr>
          <w:sz w:val="20"/>
          <w:szCs w:val="20"/>
        </w:rPr>
        <w:tab/>
      </w:r>
      <w:r w:rsidRPr="00C3342E">
        <w:rPr>
          <w:sz w:val="20"/>
          <w:szCs w:val="20"/>
        </w:rPr>
        <w:t>CO ist das Produkt der Reaktion, C und CO</w:t>
      </w:r>
      <w:r w:rsidRPr="00C3342E">
        <w:rPr>
          <w:sz w:val="20"/>
          <w:szCs w:val="20"/>
          <w:vertAlign w:val="subscript"/>
        </w:rPr>
        <w:t xml:space="preserve">2 </w:t>
      </w:r>
      <w:r w:rsidRPr="00C3342E">
        <w:rPr>
          <w:sz w:val="20"/>
          <w:szCs w:val="20"/>
        </w:rPr>
        <w:t xml:space="preserve">sind die Edukte. </w:t>
      </w:r>
    </w:p>
    <w:p w:rsidR="005500CC" w:rsidRPr="00C3342E" w:rsidRDefault="005500CC" w:rsidP="005500CC">
      <w:pPr>
        <w:spacing w:after="0"/>
        <w:rPr>
          <w:rFonts w:eastAsiaTheme="minorEastAsia"/>
          <w:sz w:val="20"/>
          <w:szCs w:val="20"/>
        </w:rPr>
      </w:pPr>
      <w:r w:rsidRPr="00C3342E">
        <w:rPr>
          <w:sz w:val="20"/>
          <w:szCs w:val="20"/>
        </w:rPr>
        <w:tab/>
      </w:r>
      <w:r w:rsidRPr="00C3342E">
        <w:rPr>
          <w:sz w:val="20"/>
          <w:szCs w:val="20"/>
        </w:rPr>
        <w:tab/>
        <w:t xml:space="preserve">Es gilt: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∆H=H</m:t>
        </m:r>
        <m:d>
          <m:dPr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Produkte</m:t>
            </m:r>
          </m:e>
        </m:d>
        <m:r>
          <m:rPr>
            <m:sty m:val="p"/>
          </m:rPr>
          <w:rPr>
            <w:rFonts w:ascii="Cambria Math" w:hAnsi="Cambria Math"/>
            <w:sz w:val="20"/>
            <w:szCs w:val="20"/>
          </w:rPr>
          <m:t>- H</m:t>
        </m:r>
        <m:d>
          <m:dPr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Edukte</m:t>
            </m:r>
          </m:e>
        </m:d>
      </m:oMath>
      <w:r w:rsidRPr="00C3342E">
        <w:rPr>
          <w:rFonts w:eastAsiaTheme="minorEastAsia"/>
          <w:sz w:val="20"/>
          <w:szCs w:val="20"/>
        </w:rPr>
        <w:t xml:space="preserve"> und 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szCs w:val="20"/>
          </w:rPr>
          <m:t>∆S=S</m:t>
        </m:r>
        <m:d>
          <m:dPr>
            <m:ctrlPr>
              <w:rPr>
                <w:rFonts w:ascii="Cambria Math" w:eastAsiaTheme="minorEastAsia" w:hAnsi="Cambria Math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</w:rPr>
              <m:t>Produkte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0"/>
            <w:szCs w:val="20"/>
          </w:rPr>
          <m:t>-S(Edukte)</m:t>
        </m:r>
      </m:oMath>
    </w:p>
    <w:p w:rsidR="005500CC" w:rsidRPr="00C3342E" w:rsidRDefault="005500CC" w:rsidP="005500CC">
      <w:pPr>
        <w:rPr>
          <w:rFonts w:eastAsiaTheme="minorEastAsia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∆H=2∙</m:t>
          </m:r>
          <m:d>
            <m:dPr>
              <m:ctrlPr>
                <w:rPr>
                  <w:rFonts w:ascii="Cambria Math" w:hAnsi="Cambria Math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-111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kJ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mol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-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20"/>
                  <w:szCs w:val="20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-394 </m:t>
                  </m:r>
                  <m:f>
                    <m:f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kJ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mol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+0 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kJ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mol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 xml:space="preserve">=172 </m:t>
          </m:r>
          <m:f>
            <m:fPr>
              <m:ctrlPr>
                <w:rPr>
                  <w:rFonts w:ascii="Cambria Math" w:hAnsi="Cambria Math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kJ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mol</m:t>
              </m:r>
            </m:den>
          </m:f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 xml:space="preserve">=172000 </m:t>
          </m:r>
          <m:f>
            <m:fPr>
              <m:ctrlPr>
                <w:rPr>
                  <w:rFonts w:ascii="Cambria Math" w:hAnsi="Cambria Math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J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mol</m:t>
              </m:r>
            </m:den>
          </m:f>
        </m:oMath>
      </m:oMathPara>
    </w:p>
    <w:p w:rsidR="005500CC" w:rsidRPr="00C3342E" w:rsidRDefault="005500CC" w:rsidP="005500CC">
      <w:pPr>
        <w:spacing w:after="0"/>
        <w:ind w:left="1410"/>
        <w:rPr>
          <w:rFonts w:eastAsiaTheme="minorEastAsia"/>
          <w:sz w:val="20"/>
          <w:szCs w:val="20"/>
        </w:rPr>
      </w:pPr>
      <w:r w:rsidRPr="00C3342E">
        <w:rPr>
          <w:rFonts w:eastAsiaTheme="minorEastAsia"/>
          <w:sz w:val="20"/>
          <w:szCs w:val="20"/>
        </w:rPr>
        <w:t xml:space="preserve">Die </w:t>
      </w:r>
      <w:proofErr w:type="spellStart"/>
      <w:r w:rsidRPr="00C3342E">
        <w:rPr>
          <w:rFonts w:eastAsiaTheme="minorEastAsia"/>
          <w:sz w:val="20"/>
          <w:szCs w:val="20"/>
        </w:rPr>
        <w:t>SuS</w:t>
      </w:r>
      <w:proofErr w:type="spellEnd"/>
      <w:r w:rsidRPr="00C3342E">
        <w:rPr>
          <w:rFonts w:eastAsiaTheme="minorEastAsia"/>
          <w:sz w:val="20"/>
          <w:szCs w:val="20"/>
        </w:rPr>
        <w:t xml:space="preserve"> sollten an dieser Stelle wissen, dass Kohlenstoff als Element eine Standardbi</w:t>
      </w:r>
      <w:r w:rsidRPr="00C3342E">
        <w:rPr>
          <w:rFonts w:eastAsiaTheme="minorEastAsia"/>
          <w:sz w:val="20"/>
          <w:szCs w:val="20"/>
        </w:rPr>
        <w:t>l</w:t>
      </w:r>
      <w:r w:rsidRPr="00C3342E">
        <w:rPr>
          <w:rFonts w:eastAsiaTheme="minorEastAsia"/>
          <w:sz w:val="20"/>
          <w:szCs w:val="20"/>
        </w:rPr>
        <w:t xml:space="preserve">dungsenthalpie von 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0 </m:t>
        </m:r>
        <m:f>
          <m:fPr>
            <m:ctrlPr>
              <w:rPr>
                <w:rFonts w:ascii="Cambria Math" w:hAnsi="Cambria Math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kJ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mol</m:t>
            </m:r>
          </m:den>
        </m:f>
      </m:oMath>
      <w:r w:rsidRPr="00C3342E">
        <w:rPr>
          <w:rFonts w:eastAsiaTheme="minorEastAsia"/>
          <w:sz w:val="20"/>
          <w:szCs w:val="20"/>
        </w:rPr>
        <w:t xml:space="preserve"> besitzt und CO</w:t>
      </w:r>
      <w:r w:rsidRPr="00C3342E">
        <w:rPr>
          <w:rFonts w:eastAsiaTheme="minorEastAsia"/>
          <w:sz w:val="20"/>
          <w:szCs w:val="20"/>
          <w:vertAlign w:val="subscript"/>
        </w:rPr>
        <w:t xml:space="preserve">2 </w:t>
      </w:r>
      <w:r w:rsidRPr="00C3342E">
        <w:rPr>
          <w:rFonts w:eastAsiaTheme="minorEastAsia"/>
          <w:sz w:val="20"/>
          <w:szCs w:val="20"/>
        </w:rPr>
        <w:t xml:space="preserve">als Gas nicht 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0 </m:t>
        </m:r>
        <m:f>
          <m:fPr>
            <m:ctrlPr>
              <w:rPr>
                <w:rFonts w:ascii="Cambria Math" w:hAnsi="Cambria Math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kJ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mol</m:t>
            </m:r>
          </m:den>
        </m:f>
      </m:oMath>
      <w:r w:rsidRPr="00C3342E">
        <w:rPr>
          <w:rFonts w:eastAsiaTheme="minorEastAsia"/>
          <w:sz w:val="20"/>
          <w:szCs w:val="20"/>
        </w:rPr>
        <w:t xml:space="preserve"> hat.</w:t>
      </w:r>
    </w:p>
    <w:p w:rsidR="005500CC" w:rsidRPr="00C3342E" w:rsidRDefault="005500CC" w:rsidP="005500CC">
      <w:pPr>
        <w:ind w:left="1410"/>
        <w:rPr>
          <w:rFonts w:eastAsiaTheme="minorEastAsia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0"/>
              <w:szCs w:val="20"/>
            </w:rPr>
            <m:t xml:space="preserve">∆S=2∙198 </m:t>
          </m:r>
          <m:f>
            <m:fPr>
              <m:ctrlPr>
                <w:rPr>
                  <w:rFonts w:ascii="Cambria Math" w:eastAsiaTheme="minorEastAsia" w:hAnsi="Cambria Math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J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K∙mol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0"/>
              <w:szCs w:val="20"/>
            </w:rPr>
            <m:t>-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 xml:space="preserve">214 </m:t>
              </m:r>
              <m:f>
                <m:fPr>
                  <m:ctrlPr>
                    <w:rPr>
                      <w:rFonts w:ascii="Cambria Math" w:eastAsiaTheme="minorEastAsia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J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K∙mol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 xml:space="preserve">+6 </m:t>
              </m:r>
              <m:f>
                <m:fPr>
                  <m:ctrlPr>
                    <w:rPr>
                      <w:rFonts w:ascii="Cambria Math" w:eastAsiaTheme="minorEastAsia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J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K∙mol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0"/>
              <w:szCs w:val="20"/>
            </w:rPr>
            <m:t xml:space="preserve">=176 </m:t>
          </m:r>
          <m:f>
            <m:fPr>
              <m:ctrlPr>
                <w:rPr>
                  <w:rFonts w:ascii="Cambria Math" w:eastAsiaTheme="minorEastAsia" w:hAnsi="Cambria Math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J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K∙mol</m:t>
              </m:r>
            </m:den>
          </m:f>
        </m:oMath>
      </m:oMathPara>
    </w:p>
    <w:p w:rsidR="005500CC" w:rsidRPr="00C3342E" w:rsidRDefault="005500CC" w:rsidP="005500CC">
      <w:pPr>
        <w:spacing w:after="0"/>
        <w:rPr>
          <w:rFonts w:eastAsiaTheme="minorEastAsia"/>
          <w:sz w:val="20"/>
          <w:szCs w:val="20"/>
        </w:rPr>
      </w:pPr>
      <w:r w:rsidRPr="00C3342E">
        <w:rPr>
          <w:rFonts w:eastAsiaTheme="minorEastAsia"/>
          <w:sz w:val="20"/>
          <w:szCs w:val="20"/>
        </w:rPr>
        <w:tab/>
      </w:r>
      <w:r w:rsidRPr="00C3342E">
        <w:rPr>
          <w:rFonts w:eastAsiaTheme="minorEastAsia"/>
          <w:sz w:val="20"/>
          <w:szCs w:val="20"/>
        </w:rPr>
        <w:tab/>
        <w:t>Für ΔG bei 250°C lässt sich also berechnen:</w:t>
      </w:r>
    </w:p>
    <w:p w:rsidR="005500CC" w:rsidRPr="00C3342E" w:rsidRDefault="005500CC" w:rsidP="005500CC">
      <w:pPr>
        <w:rPr>
          <w:rFonts w:eastAsiaTheme="minorEastAsia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0"/>
              <w:szCs w:val="20"/>
            </w:rPr>
            <m:t xml:space="preserve">∆G=∆H-T∙∆S=172000 </m:t>
          </m:r>
          <m:f>
            <m:fPr>
              <m:ctrlPr>
                <w:rPr>
                  <w:rFonts w:ascii="Cambria Math" w:eastAsiaTheme="minorEastAsia" w:hAnsi="Cambria Math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J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mol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0"/>
              <w:szCs w:val="20"/>
            </w:rPr>
            <m:t xml:space="preserve">-523,15 K∙176 </m:t>
          </m:r>
          <m:f>
            <m:fPr>
              <m:ctrlPr>
                <w:rPr>
                  <w:rFonts w:ascii="Cambria Math" w:eastAsiaTheme="minorEastAsia" w:hAnsi="Cambria Math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J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K∙mol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0"/>
              <w:szCs w:val="20"/>
            </w:rPr>
            <m:t xml:space="preserve">=79925,6 </m:t>
          </m:r>
          <m:f>
            <m:fPr>
              <m:ctrlPr>
                <w:rPr>
                  <w:rFonts w:ascii="Cambria Math" w:eastAsiaTheme="minorEastAsia" w:hAnsi="Cambria Math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J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mol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0"/>
              <w:szCs w:val="20"/>
            </w:rPr>
            <m:t>=79,93</m:t>
          </m:r>
          <m:f>
            <m:fPr>
              <m:ctrlPr>
                <w:rPr>
                  <w:rFonts w:ascii="Cambria Math" w:eastAsiaTheme="minorEastAsia" w:hAnsi="Cambria Math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kJ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mol</m:t>
              </m:r>
            </m:den>
          </m:f>
        </m:oMath>
      </m:oMathPara>
    </w:p>
    <w:p w:rsidR="005500CC" w:rsidRPr="00C3342E" w:rsidRDefault="005500CC" w:rsidP="005500CC">
      <w:pPr>
        <w:spacing w:after="0"/>
        <w:rPr>
          <w:rFonts w:eastAsiaTheme="minorEastAsia"/>
          <w:sz w:val="20"/>
          <w:szCs w:val="20"/>
        </w:rPr>
      </w:pPr>
      <w:r w:rsidRPr="00C3342E">
        <w:rPr>
          <w:rFonts w:eastAsiaTheme="minorEastAsia"/>
          <w:sz w:val="20"/>
          <w:szCs w:val="20"/>
        </w:rPr>
        <w:tab/>
      </w:r>
      <w:r w:rsidRPr="00C3342E">
        <w:rPr>
          <w:rFonts w:eastAsiaTheme="minorEastAsia"/>
          <w:sz w:val="20"/>
          <w:szCs w:val="20"/>
        </w:rPr>
        <w:tab/>
        <w:t>Für ΔG bei 850°C lässt sich folgendes berechnen:</w:t>
      </w:r>
    </w:p>
    <w:p w:rsidR="005500CC" w:rsidRPr="00C3342E" w:rsidRDefault="005500CC" w:rsidP="005500CC">
      <w:pPr>
        <w:rPr>
          <w:rFonts w:eastAsiaTheme="minorEastAsia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0"/>
              <w:szCs w:val="20"/>
            </w:rPr>
            <m:t xml:space="preserve">∆G=∆H-T∙∆S=172000 </m:t>
          </m:r>
          <m:f>
            <m:fPr>
              <m:ctrlPr>
                <w:rPr>
                  <w:rFonts w:ascii="Cambria Math" w:eastAsiaTheme="minorEastAsia" w:hAnsi="Cambria Math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J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mol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0"/>
              <w:szCs w:val="20"/>
            </w:rPr>
            <m:t xml:space="preserve">-1123,15 K∙176 </m:t>
          </m:r>
          <m:f>
            <m:fPr>
              <m:ctrlPr>
                <w:rPr>
                  <w:rFonts w:ascii="Cambria Math" w:eastAsiaTheme="minorEastAsia" w:hAnsi="Cambria Math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J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K∙mol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0"/>
              <w:szCs w:val="20"/>
            </w:rPr>
            <m:t>=-25674,4</m:t>
          </m:r>
          <m:f>
            <m:fPr>
              <m:ctrlPr>
                <w:rPr>
                  <w:rFonts w:ascii="Cambria Math" w:eastAsiaTheme="minorEastAsia" w:hAnsi="Cambria Math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J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mol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0"/>
              <w:szCs w:val="20"/>
            </w:rPr>
            <m:t>=-25,67</m:t>
          </m:r>
          <m:f>
            <m:fPr>
              <m:ctrlPr>
                <w:rPr>
                  <w:rFonts w:ascii="Cambria Math" w:eastAsiaTheme="minorEastAsia" w:hAnsi="Cambria Math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kJ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mol</m:t>
              </m:r>
            </m:den>
          </m:f>
        </m:oMath>
      </m:oMathPara>
    </w:p>
    <w:p w:rsidR="005500CC" w:rsidRPr="00C3342E" w:rsidRDefault="005500CC" w:rsidP="005500CC">
      <w:pPr>
        <w:ind w:left="1410" w:hanging="1410"/>
        <w:rPr>
          <w:rFonts w:eastAsiaTheme="minorEastAsia"/>
          <w:sz w:val="20"/>
          <w:szCs w:val="20"/>
        </w:rPr>
      </w:pPr>
      <w:r w:rsidRPr="00C3342E">
        <w:rPr>
          <w:rFonts w:eastAsiaTheme="minorEastAsia"/>
          <w:b/>
          <w:sz w:val="20"/>
          <w:szCs w:val="20"/>
        </w:rPr>
        <w:t>Aufgabe 4:</w:t>
      </w:r>
      <w:r>
        <w:rPr>
          <w:rFonts w:eastAsiaTheme="minorEastAsia"/>
          <w:b/>
          <w:sz w:val="20"/>
          <w:szCs w:val="20"/>
        </w:rPr>
        <w:tab/>
      </w:r>
      <w:r w:rsidRPr="00C3342E">
        <w:rPr>
          <w:rFonts w:eastAsiaTheme="minorEastAsia"/>
          <w:sz w:val="20"/>
          <w:szCs w:val="20"/>
        </w:rPr>
        <w:t xml:space="preserve">Bei 250°C ist die Reaktion endotherm, da ΔH &gt; 0 ist. ΔG ist bei dieser Temperatur auch größer 0, die Reaktion ist also zusätzlich </w:t>
      </w:r>
      <w:proofErr w:type="spellStart"/>
      <w:r w:rsidRPr="00C3342E">
        <w:rPr>
          <w:rFonts w:eastAsiaTheme="minorEastAsia"/>
          <w:sz w:val="20"/>
          <w:szCs w:val="20"/>
        </w:rPr>
        <w:t>endergon</w:t>
      </w:r>
      <w:proofErr w:type="spellEnd"/>
      <w:r w:rsidRPr="00C3342E">
        <w:rPr>
          <w:rFonts w:eastAsiaTheme="minorEastAsia"/>
          <w:sz w:val="20"/>
          <w:szCs w:val="20"/>
        </w:rPr>
        <w:t xml:space="preserve">. Sie läuft also bei 250°C </w:t>
      </w:r>
      <w:r w:rsidRPr="00C3342E">
        <w:rPr>
          <w:rFonts w:eastAsiaTheme="minorEastAsia"/>
          <w:b/>
          <w:sz w:val="20"/>
          <w:szCs w:val="20"/>
        </w:rPr>
        <w:t>nicht</w:t>
      </w:r>
      <w:r w:rsidRPr="00C3342E">
        <w:rPr>
          <w:rFonts w:eastAsiaTheme="minorEastAsia"/>
          <w:sz w:val="20"/>
          <w:szCs w:val="20"/>
        </w:rPr>
        <w:t xml:space="preserve"> freiwillig ab. Bei 850°C ist ΔG &lt; 0, es handelt sich nun also um einen </w:t>
      </w:r>
      <w:proofErr w:type="spellStart"/>
      <w:r w:rsidRPr="00C3342E">
        <w:rPr>
          <w:rFonts w:eastAsiaTheme="minorEastAsia"/>
          <w:sz w:val="20"/>
          <w:szCs w:val="20"/>
        </w:rPr>
        <w:t>exergonen</w:t>
      </w:r>
      <w:proofErr w:type="spellEnd"/>
      <w:r w:rsidRPr="00C3342E">
        <w:rPr>
          <w:rFonts w:eastAsiaTheme="minorEastAsia"/>
          <w:sz w:val="20"/>
          <w:szCs w:val="20"/>
        </w:rPr>
        <w:t xml:space="preserve"> Prozess. ΔH ist aber immer noch größer 0, was auf ein nicht freiwilliges Ablaufen der Reaktion hindeutet, ein </w:t>
      </w:r>
      <w:proofErr w:type="spellStart"/>
      <w:r w:rsidRPr="00C3342E">
        <w:rPr>
          <w:rFonts w:eastAsiaTheme="minorEastAsia"/>
          <w:sz w:val="20"/>
          <w:szCs w:val="20"/>
        </w:rPr>
        <w:t>exergoner</w:t>
      </w:r>
      <w:proofErr w:type="spellEnd"/>
      <w:r w:rsidRPr="00C3342E">
        <w:rPr>
          <w:rFonts w:eastAsiaTheme="minorEastAsia"/>
          <w:sz w:val="20"/>
          <w:szCs w:val="20"/>
        </w:rPr>
        <w:t xml:space="preserve"> Prozess läuft normalerweise aber freiwillig ab. Bei 850°C ist die Reaktion also endotherm und </w:t>
      </w:r>
      <w:proofErr w:type="spellStart"/>
      <w:r w:rsidRPr="00C3342E">
        <w:rPr>
          <w:rFonts w:eastAsiaTheme="minorEastAsia"/>
          <w:sz w:val="20"/>
          <w:szCs w:val="20"/>
        </w:rPr>
        <w:t>exergon</w:t>
      </w:r>
      <w:proofErr w:type="spellEnd"/>
      <w:r w:rsidRPr="00C3342E">
        <w:rPr>
          <w:rFonts w:eastAsiaTheme="minorEastAsia"/>
          <w:sz w:val="20"/>
          <w:szCs w:val="20"/>
        </w:rPr>
        <w:t xml:space="preserve"> und läuft freiwillig ab, da die freie Enthalpie überwiegt. Dies lässt sich damit erklären, dass der mit wachsender Temperatur steigende Einfluss der Reakt</w:t>
      </w:r>
      <w:r w:rsidRPr="00C3342E">
        <w:rPr>
          <w:rFonts w:eastAsiaTheme="minorEastAsia"/>
          <w:sz w:val="20"/>
          <w:szCs w:val="20"/>
        </w:rPr>
        <w:t>i</w:t>
      </w:r>
      <w:r w:rsidRPr="00C3342E">
        <w:rPr>
          <w:rFonts w:eastAsiaTheme="minorEastAsia"/>
          <w:sz w:val="20"/>
          <w:szCs w:val="20"/>
        </w:rPr>
        <w:t xml:space="preserve">onsentropie den der Reaktionsenthalpie überkompensiert. </w:t>
      </w:r>
    </w:p>
    <w:p w:rsidR="00F069C6" w:rsidRDefault="005500CC" w:rsidP="005500CC">
      <w:pPr>
        <w:ind w:left="1410" w:hanging="1410"/>
      </w:pPr>
      <w:r w:rsidRPr="00C3342E">
        <w:rPr>
          <w:rFonts w:eastAsiaTheme="minorEastAsia"/>
          <w:b/>
          <w:sz w:val="20"/>
          <w:szCs w:val="20"/>
        </w:rPr>
        <w:t>Aufgabe 5:</w:t>
      </w:r>
      <w:r w:rsidRPr="00C3342E">
        <w:rPr>
          <w:rFonts w:eastAsiaTheme="minorEastAsia"/>
          <w:sz w:val="20"/>
          <w:szCs w:val="20"/>
        </w:rPr>
        <w:tab/>
        <w:t xml:space="preserve">Da die Reaktion von Kohlenstoff und </w:t>
      </w:r>
      <w:proofErr w:type="spellStart"/>
      <w:r w:rsidRPr="00C3342E">
        <w:rPr>
          <w:rFonts w:eastAsiaTheme="minorEastAsia"/>
          <w:sz w:val="20"/>
          <w:szCs w:val="20"/>
        </w:rPr>
        <w:t>Kohlenstoffidoxid</w:t>
      </w:r>
      <w:proofErr w:type="spellEnd"/>
      <w:r w:rsidRPr="00C3342E">
        <w:rPr>
          <w:rFonts w:eastAsiaTheme="minorEastAsia"/>
          <w:sz w:val="20"/>
          <w:szCs w:val="20"/>
        </w:rPr>
        <w:t xml:space="preserve"> zu Kohlenstoffmonoxid bei einer Temperatur von 250°C noch nicht freiwillig abläuft, scheint es kein besonders </w:t>
      </w:r>
      <w:proofErr w:type="spellStart"/>
      <w:r w:rsidRPr="00C3342E">
        <w:rPr>
          <w:rFonts w:eastAsiaTheme="minorEastAsia"/>
          <w:sz w:val="20"/>
          <w:szCs w:val="20"/>
        </w:rPr>
        <w:t>energieeffizentes</w:t>
      </w:r>
      <w:proofErr w:type="spellEnd"/>
      <w:r w:rsidRPr="00C3342E">
        <w:rPr>
          <w:rFonts w:eastAsiaTheme="minorEastAsia"/>
          <w:sz w:val="20"/>
          <w:szCs w:val="20"/>
        </w:rPr>
        <w:t xml:space="preserve"> Verfahren zu sein, da vorab viel Energie (in Form von Wärme) aufg</w:t>
      </w:r>
      <w:r w:rsidRPr="00C3342E">
        <w:rPr>
          <w:rFonts w:eastAsiaTheme="minorEastAsia"/>
          <w:sz w:val="20"/>
          <w:szCs w:val="20"/>
        </w:rPr>
        <w:t>e</w:t>
      </w:r>
      <w:r w:rsidRPr="00C3342E">
        <w:rPr>
          <w:rFonts w:eastAsiaTheme="minorEastAsia"/>
          <w:sz w:val="20"/>
          <w:szCs w:val="20"/>
        </w:rPr>
        <w:t xml:space="preserve">wendet werden muss um das Produkt zu erhalten.  </w:t>
      </w:r>
    </w:p>
    <w:sectPr w:rsidR="00F069C6" w:rsidSect="00F069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32404297"/>
      <w:docPartObj>
        <w:docPartGallery w:val="Page Numbers (Top of Page)"/>
        <w:docPartUnique/>
      </w:docPartObj>
    </w:sdtPr>
    <w:sdtEndPr/>
    <w:sdtContent>
      <w:p w:rsidR="00A26E9A" w:rsidRPr="00337B69" w:rsidRDefault="005500CC" w:rsidP="00337B69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239E2"/>
    <w:multiLevelType w:val="hybridMultilevel"/>
    <w:tmpl w:val="BD24AE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00CC"/>
    <w:rsid w:val="005500CC"/>
    <w:rsid w:val="00982EE1"/>
    <w:rsid w:val="00F0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00CC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500CC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500C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500CC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500C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500C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500C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500C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500C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500C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500CC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500CC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00CC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500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00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00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00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00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00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5500CC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550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00CC"/>
    <w:rPr>
      <w:rFonts w:ascii="Cambria" w:hAnsi="Cambria"/>
      <w:color w:val="1D1B11" w:themeColor="background2" w:themeShade="1A"/>
    </w:rPr>
  </w:style>
  <w:style w:type="table" w:styleId="Tabellengitternetz">
    <w:name w:val="Table Grid"/>
    <w:basedOn w:val="NormaleTabelle"/>
    <w:uiPriority w:val="59"/>
    <w:rsid w:val="00550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00CC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</dc:creator>
  <cp:lastModifiedBy>Marlene</cp:lastModifiedBy>
  <cp:revision>1</cp:revision>
  <dcterms:created xsi:type="dcterms:W3CDTF">2014-08-26T17:29:00Z</dcterms:created>
  <dcterms:modified xsi:type="dcterms:W3CDTF">2014-08-26T17:37:00Z</dcterms:modified>
</cp:coreProperties>
</file>