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8D" w:rsidRDefault="000D348D" w:rsidP="000D348D">
      <w:pPr>
        <w:pStyle w:val="berschrift1"/>
      </w:pPr>
      <w:bookmarkStart w:id="0" w:name="_Toc396827237"/>
      <w:bookmarkStart w:id="1" w:name="_GoBack"/>
      <w:bookmarkEnd w:id="1"/>
      <w:r>
        <w:t>Lehrerversuche</w:t>
      </w:r>
      <w:bookmarkEnd w:id="0"/>
      <w:r>
        <w:t xml:space="preserve"> </w:t>
      </w:r>
    </w:p>
    <w:p w:rsidR="000D348D" w:rsidRDefault="000D348D" w:rsidP="000D348D">
      <w:pPr>
        <w:pStyle w:val="berschrift2"/>
      </w:pPr>
      <w:bookmarkStart w:id="2" w:name="_Toc396827238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8764F" wp14:editId="6D8F8D0A">
                <wp:simplePos x="0" y="0"/>
                <wp:positionH relativeFrom="column">
                  <wp:posOffset>9525</wp:posOffset>
                </wp:positionH>
                <wp:positionV relativeFrom="paragraph">
                  <wp:posOffset>438150</wp:posOffset>
                </wp:positionV>
                <wp:extent cx="5873115" cy="1069975"/>
                <wp:effectExtent l="13970" t="6350" r="8890" b="952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69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348D" w:rsidRPr="005F1E43" w:rsidRDefault="000D348D" w:rsidP="000D348D">
                            <w:pPr>
                              <w:rPr>
                                <w:color w:val="auto"/>
                              </w:rPr>
                            </w:pPr>
                            <w:r w:rsidRPr="005F1E43">
                              <w:rPr>
                                <w:color w:val="auto"/>
                              </w:rPr>
                              <w:t xml:space="preserve">Auf eine willkürliche Konzentrationserhöhung eines der beteiligen Ionen reagieren gesättigte Salzlösungen nach dem Prinzip von Le Chatelier: </w:t>
                            </w:r>
                            <w:proofErr w:type="spellStart"/>
                            <w:r w:rsidRPr="005F1E43">
                              <w:rPr>
                                <w:color w:val="auto"/>
                              </w:rPr>
                              <w:t>Gleichioniger</w:t>
                            </w:r>
                            <w:proofErr w:type="spellEnd"/>
                            <w:r w:rsidRPr="005F1E43">
                              <w:rPr>
                                <w:color w:val="auto"/>
                              </w:rPr>
                              <w:t xml:space="preserve"> Zusätze führen zur Bildung von zusätzlichem festen Salz, das als Niederschlag aus der Lösung ausfällt. Das Löslichkeitsprodukt des Salzes wird überschritten.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75pt;margin-top:34.5pt;width:462.45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0D348D" w:rsidRPr="005F1E43" w:rsidRDefault="000D348D" w:rsidP="000D348D">
                      <w:pPr>
                        <w:rPr>
                          <w:color w:val="auto"/>
                        </w:rPr>
                      </w:pPr>
                      <w:r w:rsidRPr="005F1E43">
                        <w:rPr>
                          <w:color w:val="auto"/>
                        </w:rPr>
                        <w:t xml:space="preserve">Auf eine willkürliche Konzentrationserhöhung eines der beteiligen Ionen reagieren gesättigte Salzlösungen nach dem Prinzip von Le Chatelier: </w:t>
                      </w:r>
                      <w:proofErr w:type="spellStart"/>
                      <w:r w:rsidRPr="005F1E43">
                        <w:rPr>
                          <w:color w:val="auto"/>
                        </w:rPr>
                        <w:t>Gleichioniger</w:t>
                      </w:r>
                      <w:proofErr w:type="spellEnd"/>
                      <w:r w:rsidRPr="005F1E43">
                        <w:rPr>
                          <w:color w:val="auto"/>
                        </w:rPr>
                        <w:t xml:space="preserve"> Zusätze führen zur Bildung von zusätzlichem festen Salz, das als Niederschlag aus der Lösung ausfällt. Das Löslichkeitsprodukt des Salzes wird überschritten.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V 1 – </w:t>
      </w:r>
      <w:proofErr w:type="spellStart"/>
      <w:r>
        <w:t>Gleichioniger</w:t>
      </w:r>
      <w:proofErr w:type="spellEnd"/>
      <w:r>
        <w:t xml:space="preserve"> Zusatz</w:t>
      </w:r>
      <w:bookmarkEnd w:id="2"/>
      <w:r>
        <w:t xml:space="preserve"> </w:t>
      </w:r>
    </w:p>
    <w:p w:rsidR="000D348D" w:rsidRPr="001079CC" w:rsidRDefault="000D348D" w:rsidP="000D348D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D348D" w:rsidRPr="009C5E28" w:rsidTr="00EC55D8">
        <w:tc>
          <w:tcPr>
            <w:tcW w:w="9322" w:type="dxa"/>
            <w:gridSpan w:val="9"/>
            <w:shd w:val="clear" w:color="auto" w:fill="4F81BD"/>
            <w:vAlign w:val="center"/>
          </w:tcPr>
          <w:p w:rsidR="000D348D" w:rsidRPr="009C5E28" w:rsidRDefault="000D348D" w:rsidP="00EC55D8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0D348D" w:rsidRPr="009C5E28" w:rsidTr="00EC55D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48D" w:rsidRPr="00B7461A" w:rsidRDefault="000D348D" w:rsidP="00EC55D8">
            <w:pPr>
              <w:spacing w:after="0" w:line="276" w:lineRule="auto"/>
              <w:jc w:val="center"/>
              <w:rPr>
                <w:bCs/>
              </w:rPr>
            </w:pPr>
            <w:r w:rsidRPr="00B7461A">
              <w:rPr>
                <w:bCs/>
              </w:rP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48D" w:rsidRPr="00B7461A" w:rsidRDefault="000D348D" w:rsidP="00EC55D8">
            <w:pPr>
              <w:spacing w:after="0"/>
              <w:jc w:val="center"/>
            </w:pPr>
            <w:r w:rsidRPr="00B7461A"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D348D" w:rsidRPr="00B7461A" w:rsidRDefault="000D348D" w:rsidP="00EC55D8">
            <w:pPr>
              <w:spacing w:after="0"/>
              <w:jc w:val="center"/>
            </w:pPr>
            <w:r w:rsidRPr="00B7461A">
              <w:t xml:space="preserve">P: </w:t>
            </w:r>
            <w:r>
              <w:t>-</w:t>
            </w:r>
          </w:p>
        </w:tc>
      </w:tr>
      <w:tr w:rsidR="000D348D" w:rsidRPr="009C5E28" w:rsidTr="00EC55D8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0D348D" w:rsidRPr="00B7461A" w:rsidRDefault="000D348D" w:rsidP="00EC55D8">
            <w:pPr>
              <w:spacing w:after="0" w:line="276" w:lineRule="auto"/>
              <w:jc w:val="center"/>
              <w:rPr>
                <w:bCs/>
              </w:rPr>
            </w:pPr>
            <w:r w:rsidRPr="00B7461A">
              <w:rPr>
                <w:bCs/>
              </w:rPr>
              <w:t>Kaliumchlorid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0D348D" w:rsidRPr="00B7461A" w:rsidRDefault="000D348D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B7461A">
              <w:rPr>
                <w:sz w:val="22"/>
                <w:szCs w:val="22"/>
              </w:rPr>
              <w:t xml:space="preserve">H: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D348D" w:rsidRPr="00B7461A" w:rsidRDefault="000D348D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B7461A">
              <w:rPr>
                <w:sz w:val="22"/>
                <w:szCs w:val="22"/>
              </w:rPr>
              <w:t xml:space="preserve">P: </w:t>
            </w:r>
            <w:r>
              <w:rPr>
                <w:sz w:val="22"/>
                <w:szCs w:val="22"/>
              </w:rPr>
              <w:t>-</w:t>
            </w:r>
          </w:p>
        </w:tc>
      </w:tr>
      <w:tr w:rsidR="000D348D" w:rsidRPr="009C5E28" w:rsidTr="00EC55D8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0D348D" w:rsidRPr="00B7461A" w:rsidRDefault="000D348D" w:rsidP="00EC55D8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Kaliumperchlorat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0D348D" w:rsidRPr="00B7461A" w:rsidRDefault="000D348D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271- 302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D348D" w:rsidRPr="00B7461A" w:rsidRDefault="000D348D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220</w:t>
            </w:r>
          </w:p>
        </w:tc>
      </w:tr>
      <w:tr w:rsidR="000D348D" w:rsidRPr="009C5E28" w:rsidTr="00EC55D8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0D348D" w:rsidRDefault="000D348D" w:rsidP="00EC55D8">
            <w:pPr>
              <w:spacing w:after="0"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Perchlorsäure</w:t>
            </w:r>
            <w:proofErr w:type="spellEnd"/>
            <w:r>
              <w:rPr>
                <w:bCs/>
              </w:rPr>
              <w:t xml:space="preserve"> (w=60%)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0D348D" w:rsidRPr="00B7461A" w:rsidRDefault="000D348D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271- 290- 314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D348D" w:rsidRPr="00B7461A" w:rsidRDefault="000D348D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210- 280- 301+330+331- 305+338+351</w:t>
            </w:r>
          </w:p>
        </w:tc>
      </w:tr>
      <w:tr w:rsidR="000D348D" w:rsidRPr="009C5E28" w:rsidTr="00EC55D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48D" w:rsidRPr="009C5E28" w:rsidRDefault="000D348D" w:rsidP="00EC5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7A9FF3C" wp14:editId="7FB19C93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48D" w:rsidRPr="009C5E28" w:rsidRDefault="000D348D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0EE8E66" wp14:editId="0AD9C483">
                  <wp:extent cx="503555" cy="503555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48D" w:rsidRPr="009C5E28" w:rsidRDefault="000D348D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8C4E6BA" wp14:editId="44D44F8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48D" w:rsidRPr="009C5E28" w:rsidRDefault="000D348D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344CF81" wp14:editId="31D97E8D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48D" w:rsidRPr="009C5E28" w:rsidRDefault="000D348D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7D5671C" wp14:editId="10E1622F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48D" w:rsidRPr="009C5E28" w:rsidRDefault="000D348D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57E37A0" wp14:editId="7628CE49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48D" w:rsidRPr="009C5E28" w:rsidRDefault="000D348D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97AAEDE" wp14:editId="12934C79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D348D" w:rsidRPr="009C5E28" w:rsidRDefault="000D348D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3B6E9B8" wp14:editId="6B310458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D348D" w:rsidRPr="009C5E28" w:rsidRDefault="000D348D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90501BD" wp14:editId="402087ED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48D" w:rsidRDefault="000D348D" w:rsidP="000D348D">
      <w:pPr>
        <w:tabs>
          <w:tab w:val="left" w:pos="1701"/>
          <w:tab w:val="left" w:pos="1985"/>
        </w:tabs>
        <w:ind w:left="1980" w:hanging="1980"/>
      </w:pPr>
    </w:p>
    <w:p w:rsidR="000D348D" w:rsidRDefault="000D348D" w:rsidP="000D348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3 Reagenzgläser, Reagenzglasständer, Messpipetten, </w:t>
      </w:r>
      <w:proofErr w:type="spellStart"/>
      <w:r>
        <w:t>Peleusball</w:t>
      </w:r>
      <w:proofErr w:type="spellEnd"/>
    </w:p>
    <w:p w:rsidR="000D348D" w:rsidRPr="00ED07C2" w:rsidRDefault="000D348D" w:rsidP="000D348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gesättigte Kaliumchlorid-Lösung, gesättigte Natriumchlorid-Lösung, gesä</w:t>
      </w:r>
      <w:r>
        <w:t>t</w:t>
      </w:r>
      <w:r>
        <w:t xml:space="preserve">tigte Kaliumperchlorat-Lösung, </w:t>
      </w:r>
      <w:proofErr w:type="spellStart"/>
      <w:r>
        <w:t>Perchlorsäure</w:t>
      </w:r>
      <w:proofErr w:type="spellEnd"/>
      <w:r>
        <w:t xml:space="preserve"> (w = 60%)</w:t>
      </w:r>
    </w:p>
    <w:p w:rsidR="000D348D" w:rsidRDefault="000D348D" w:rsidP="000D348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In die drei Reagenzgläser werden je 5 </w:t>
      </w:r>
      <w:proofErr w:type="spellStart"/>
      <w:r>
        <w:t>mL</w:t>
      </w:r>
      <w:proofErr w:type="spellEnd"/>
      <w:r>
        <w:t xml:space="preserve"> gesättigte Kaliumperchlorat-Lösung vorgelegt. </w:t>
      </w:r>
    </w:p>
    <w:tbl>
      <w:tblPr>
        <w:tblStyle w:val="Tabellenraster"/>
        <w:tblW w:w="0" w:type="auto"/>
        <w:tblInd w:w="1980" w:type="dxa"/>
        <w:tblLook w:val="04A0" w:firstRow="1" w:lastRow="0" w:firstColumn="1" w:lastColumn="0" w:noHBand="0" w:noVBand="1"/>
      </w:tblPr>
      <w:tblGrid>
        <w:gridCol w:w="1980"/>
        <w:gridCol w:w="1776"/>
        <w:gridCol w:w="1776"/>
        <w:gridCol w:w="1776"/>
      </w:tblGrid>
      <w:tr w:rsidR="000D348D" w:rsidTr="00EC55D8"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rPr>
                <w:b/>
              </w:rPr>
            </w:pPr>
          </w:p>
        </w:tc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proofErr w:type="spellStart"/>
            <w:r w:rsidRPr="003547ED">
              <w:rPr>
                <w:b/>
              </w:rPr>
              <w:t>KCl</w:t>
            </w:r>
            <w:proofErr w:type="spellEnd"/>
            <w:r w:rsidRPr="003547ED">
              <w:rPr>
                <w:b/>
              </w:rPr>
              <w:t>-Lösung</w:t>
            </w:r>
          </w:p>
        </w:tc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3547ED">
              <w:rPr>
                <w:b/>
              </w:rPr>
              <w:t>NaCl-Lösung</w:t>
            </w:r>
          </w:p>
        </w:tc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3547ED">
              <w:rPr>
                <w:b/>
              </w:rPr>
              <w:t>HClO</w:t>
            </w:r>
            <w:r w:rsidRPr="003547ED">
              <w:rPr>
                <w:b/>
                <w:vertAlign w:val="subscript"/>
              </w:rPr>
              <w:t>4</w:t>
            </w:r>
            <w:r w:rsidRPr="003547ED">
              <w:rPr>
                <w:b/>
              </w:rPr>
              <w:t>-Lösung</w:t>
            </w:r>
          </w:p>
        </w:tc>
      </w:tr>
      <w:tr w:rsidR="000D348D" w:rsidTr="00EC55D8"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3547ED">
              <w:rPr>
                <w:b/>
              </w:rPr>
              <w:t>1. Reagenzglas</w:t>
            </w:r>
          </w:p>
        </w:tc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5 </w:t>
            </w:r>
            <w:proofErr w:type="spellStart"/>
            <w:r>
              <w:t>mL</w:t>
            </w:r>
            <w:proofErr w:type="spellEnd"/>
          </w:p>
        </w:tc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-</w:t>
            </w:r>
          </w:p>
        </w:tc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-</w:t>
            </w:r>
          </w:p>
        </w:tc>
      </w:tr>
      <w:tr w:rsidR="000D348D" w:rsidTr="00EC55D8"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3547ED">
              <w:rPr>
                <w:b/>
              </w:rPr>
              <w:t>2. Reagenzglas</w:t>
            </w:r>
          </w:p>
        </w:tc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-</w:t>
            </w:r>
          </w:p>
        </w:tc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5 </w:t>
            </w:r>
            <w:proofErr w:type="spellStart"/>
            <w:r>
              <w:t>mL</w:t>
            </w:r>
            <w:proofErr w:type="spellEnd"/>
          </w:p>
        </w:tc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-</w:t>
            </w:r>
          </w:p>
        </w:tc>
      </w:tr>
      <w:tr w:rsidR="000D348D" w:rsidTr="00EC55D8"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3547ED">
              <w:rPr>
                <w:b/>
              </w:rPr>
              <w:t>3. Reagenzglas</w:t>
            </w:r>
          </w:p>
        </w:tc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-</w:t>
            </w:r>
          </w:p>
        </w:tc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-</w:t>
            </w:r>
          </w:p>
        </w:tc>
        <w:tc>
          <w:tcPr>
            <w:tcW w:w="2303" w:type="dxa"/>
          </w:tcPr>
          <w:p w:rsidR="000D348D" w:rsidRPr="003547ED" w:rsidRDefault="000D348D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5 </w:t>
            </w:r>
            <w:proofErr w:type="spellStart"/>
            <w:r>
              <w:t>mL</w:t>
            </w:r>
            <w:proofErr w:type="spellEnd"/>
          </w:p>
        </w:tc>
      </w:tr>
    </w:tbl>
    <w:p w:rsidR="000D348D" w:rsidRDefault="000D348D" w:rsidP="000D348D">
      <w:pPr>
        <w:tabs>
          <w:tab w:val="left" w:pos="1701"/>
          <w:tab w:val="left" w:pos="1985"/>
        </w:tabs>
        <w:ind w:left="1980" w:hanging="1980"/>
      </w:pPr>
    </w:p>
    <w:p w:rsidR="000D348D" w:rsidRDefault="000D348D" w:rsidP="000D348D">
      <w:pPr>
        <w:spacing w:line="276" w:lineRule="auto"/>
        <w:jc w:val="left"/>
      </w:pPr>
      <w:r>
        <w:br w:type="page"/>
      </w:r>
    </w:p>
    <w:p w:rsidR="000D348D" w:rsidRDefault="000D348D" w:rsidP="000D348D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  <w:t xml:space="preserve">Nach Zusatz der jeweiligen Lösung zur vorgelegten Kaliumperchlorat-Lösung: </w:t>
      </w:r>
    </w:p>
    <w:tbl>
      <w:tblPr>
        <w:tblStyle w:val="Tabellenraster"/>
        <w:tblW w:w="0" w:type="auto"/>
        <w:tblInd w:w="1980" w:type="dxa"/>
        <w:tblLook w:val="04A0" w:firstRow="1" w:lastRow="0" w:firstColumn="1" w:lastColumn="0" w:noHBand="0" w:noVBand="1"/>
      </w:tblPr>
      <w:tblGrid>
        <w:gridCol w:w="3090"/>
        <w:gridCol w:w="4218"/>
      </w:tblGrid>
      <w:tr w:rsidR="000D348D" w:rsidTr="00EC55D8">
        <w:tc>
          <w:tcPr>
            <w:tcW w:w="3090" w:type="dxa"/>
          </w:tcPr>
          <w:p w:rsidR="000D348D" w:rsidRDefault="000D348D" w:rsidP="00EC55D8">
            <w:pPr>
              <w:tabs>
                <w:tab w:val="left" w:pos="1701"/>
                <w:tab w:val="left" w:pos="1985"/>
              </w:tabs>
            </w:pPr>
          </w:p>
        </w:tc>
        <w:tc>
          <w:tcPr>
            <w:tcW w:w="4218" w:type="dxa"/>
          </w:tcPr>
          <w:p w:rsidR="000D348D" w:rsidRPr="00E73A6B" w:rsidRDefault="000D348D" w:rsidP="00EC55D8">
            <w:pPr>
              <w:tabs>
                <w:tab w:val="left" w:pos="1701"/>
                <w:tab w:val="left" w:pos="1985"/>
              </w:tabs>
              <w:rPr>
                <w:b/>
              </w:rPr>
            </w:pPr>
            <w:r w:rsidRPr="00E73A6B">
              <w:rPr>
                <w:b/>
              </w:rPr>
              <w:t>Beobachtung</w:t>
            </w:r>
          </w:p>
        </w:tc>
      </w:tr>
      <w:tr w:rsidR="000D348D" w:rsidTr="00EC55D8">
        <w:tc>
          <w:tcPr>
            <w:tcW w:w="3090" w:type="dxa"/>
          </w:tcPr>
          <w:p w:rsidR="000D348D" w:rsidRDefault="000D348D" w:rsidP="00EC55D8">
            <w:pPr>
              <w:tabs>
                <w:tab w:val="left" w:pos="1701"/>
                <w:tab w:val="left" w:pos="1985"/>
              </w:tabs>
            </w:pPr>
            <w:r w:rsidRPr="003547ED">
              <w:rPr>
                <w:b/>
              </w:rPr>
              <w:t>1. Reagenzglas</w:t>
            </w:r>
          </w:p>
        </w:tc>
        <w:tc>
          <w:tcPr>
            <w:tcW w:w="4218" w:type="dxa"/>
          </w:tcPr>
          <w:p w:rsidR="000D348D" w:rsidRDefault="000D348D" w:rsidP="00EC55D8">
            <w:pPr>
              <w:tabs>
                <w:tab w:val="left" w:pos="1701"/>
                <w:tab w:val="left" w:pos="1985"/>
              </w:tabs>
            </w:pPr>
            <w:r>
              <w:t>weißer Niederschlag</w:t>
            </w:r>
          </w:p>
        </w:tc>
      </w:tr>
      <w:tr w:rsidR="000D348D" w:rsidTr="00EC55D8">
        <w:tc>
          <w:tcPr>
            <w:tcW w:w="3090" w:type="dxa"/>
          </w:tcPr>
          <w:p w:rsidR="000D348D" w:rsidRDefault="000D348D" w:rsidP="00EC55D8">
            <w:pPr>
              <w:tabs>
                <w:tab w:val="left" w:pos="1701"/>
                <w:tab w:val="left" w:pos="1985"/>
              </w:tabs>
            </w:pPr>
            <w:r w:rsidRPr="003547ED">
              <w:rPr>
                <w:b/>
              </w:rPr>
              <w:t>2. Reagenzglas</w:t>
            </w:r>
          </w:p>
        </w:tc>
        <w:tc>
          <w:tcPr>
            <w:tcW w:w="4218" w:type="dxa"/>
          </w:tcPr>
          <w:p w:rsidR="000D348D" w:rsidRDefault="000D348D" w:rsidP="00EC55D8">
            <w:pPr>
              <w:tabs>
                <w:tab w:val="left" w:pos="1701"/>
                <w:tab w:val="left" w:pos="1985"/>
              </w:tabs>
            </w:pPr>
            <w:r>
              <w:t>kein Niederschlag</w:t>
            </w:r>
          </w:p>
        </w:tc>
      </w:tr>
      <w:tr w:rsidR="000D348D" w:rsidTr="00EC55D8">
        <w:tc>
          <w:tcPr>
            <w:tcW w:w="3090" w:type="dxa"/>
          </w:tcPr>
          <w:p w:rsidR="000D348D" w:rsidRDefault="000D348D" w:rsidP="00EC55D8">
            <w:pPr>
              <w:tabs>
                <w:tab w:val="left" w:pos="1701"/>
                <w:tab w:val="left" w:pos="1985"/>
              </w:tabs>
            </w:pPr>
            <w:r w:rsidRPr="003547ED">
              <w:rPr>
                <w:b/>
              </w:rPr>
              <w:t>3. Reagenzglas</w:t>
            </w:r>
          </w:p>
        </w:tc>
        <w:tc>
          <w:tcPr>
            <w:tcW w:w="4218" w:type="dxa"/>
          </w:tcPr>
          <w:p w:rsidR="000D348D" w:rsidRDefault="000D348D" w:rsidP="00EC55D8">
            <w:pPr>
              <w:tabs>
                <w:tab w:val="left" w:pos="1701"/>
                <w:tab w:val="left" w:pos="1985"/>
              </w:tabs>
            </w:pPr>
            <w:r>
              <w:t>weißer Niederschlag</w:t>
            </w:r>
          </w:p>
        </w:tc>
      </w:tr>
    </w:tbl>
    <w:p w:rsidR="000D348D" w:rsidRDefault="000D348D" w:rsidP="000D348D">
      <w:pPr>
        <w:tabs>
          <w:tab w:val="left" w:pos="1701"/>
          <w:tab w:val="left" w:pos="1985"/>
        </w:tabs>
        <w:ind w:left="1980" w:hanging="1980"/>
      </w:pPr>
    </w:p>
    <w:p w:rsidR="000D348D" w:rsidRDefault="000D348D" w:rsidP="000D348D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35B7B0CD" wp14:editId="63067E30">
            <wp:extent cx="1363798" cy="2981325"/>
            <wp:effectExtent l="0" t="0" r="0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äsentation1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63347" cy="2980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48D" w:rsidRPr="005A0664" w:rsidRDefault="000D348D" w:rsidP="000D348D">
      <w:pPr>
        <w:pStyle w:val="Beschriftung"/>
        <w:jc w:val="left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– Ausfällung von Kaliumperchlorat nach Zugabe von Kaliumchlorid-Lösung (links) und </w:t>
      </w:r>
      <w:proofErr w:type="spellStart"/>
      <w:r>
        <w:t>Perchlorsäure</w:t>
      </w:r>
      <w:proofErr w:type="spellEnd"/>
      <w:r>
        <w:t xml:space="preserve"> (rechts).</w:t>
      </w:r>
    </w:p>
    <w:p w:rsidR="000D348D" w:rsidRDefault="000D348D" w:rsidP="000D348D">
      <w:pPr>
        <w:tabs>
          <w:tab w:val="left" w:pos="1701"/>
          <w:tab w:val="left" w:pos="1985"/>
        </w:tabs>
        <w:ind w:left="2124" w:hanging="2124"/>
        <w:jc w:val="left"/>
      </w:pPr>
      <w:r>
        <w:t>Deutung:</w:t>
      </w:r>
    </w:p>
    <w:p w:rsidR="000D348D" w:rsidRPr="00F8624A" w:rsidRDefault="000D348D" w:rsidP="000D348D">
      <w:pPr>
        <w:tabs>
          <w:tab w:val="left" w:pos="1701"/>
          <w:tab w:val="left" w:pos="1985"/>
        </w:tabs>
        <w:ind w:left="2124" w:hanging="2124"/>
        <w:jc w:val="center"/>
        <w:rPr>
          <w:rFonts w:eastAsiaTheme="minorEastAsia"/>
          <w:lang w:eastAsia="de-DE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KCl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lang w:eastAsia="de-DE"/>
            </w:rPr>
            <m:t xml:space="preserve">⇋ </m:t>
          </m:r>
          <m:sSub>
            <m:sSubPr>
              <m:ctrlPr>
                <w:rPr>
                  <w:rFonts w:ascii="Cambria Math" w:hAnsi="Cambria Math"/>
                  <w:noProof/>
                  <w:lang w:eastAsia="de-DE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noProof/>
                      <w:lang w:eastAsia="de-DE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eastAsia="de-DE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/>
                      <w:lang w:eastAsia="de-DE"/>
                    </w:rPr>
                    <m:t>+</m:t>
                  </m:r>
                </m:sup>
              </m:sSup>
            </m:e>
            <m:sub>
              <m:r>
                <w:rPr>
                  <w:rFonts w:ascii="Cambria Math" w:hAnsi="Cambria Math"/>
                  <w:noProof/>
                  <w:lang w:eastAsia="de-DE"/>
                </w:rPr>
                <m:t>(aq)</m:t>
              </m:r>
            </m:sub>
          </m:sSub>
          <m:r>
            <w:rPr>
              <w:rFonts w:ascii="Cambria Math" w:hAnsi="Cambria Math"/>
              <w:noProof/>
              <w:lang w:eastAsia="de-DE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noProof/>
                  <w:lang w:eastAsia="de-DE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eastAsia="de-DE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eastAsia="de-DE"/>
                    </w:rPr>
                    <m:t>Cl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de-D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de-DE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de-DE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noProof/>
                      <w:lang w:eastAsia="de-DE"/>
                    </w:rPr>
                    <m:t>-</m:t>
                  </m:r>
                </m:sup>
              </m:sSup>
            </m:e>
            <m:sub>
              <m:r>
                <w:rPr>
                  <w:rFonts w:ascii="Cambria Math" w:hAnsi="Cambria Math"/>
                  <w:noProof/>
                  <w:lang w:eastAsia="de-DE"/>
                </w:rPr>
                <m:t>(aq)</m:t>
              </m:r>
            </m:sub>
          </m:sSub>
        </m:oMath>
      </m:oMathPara>
    </w:p>
    <w:p w:rsidR="000D348D" w:rsidRDefault="000D348D" w:rsidP="000D348D">
      <w:pPr>
        <w:tabs>
          <w:tab w:val="left" w:pos="1701"/>
          <w:tab w:val="left" w:pos="1985"/>
        </w:tabs>
        <w:ind w:left="2124" w:hanging="2124"/>
        <w:jc w:val="center"/>
        <w:rPr>
          <w:rFonts w:eastAsiaTheme="minorEastAsia"/>
          <w:lang w:eastAsia="de-D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KCl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/>
            </w:rPr>
            <m:t>∙[</m:t>
          </m:r>
          <m:sSup>
            <m:sSupPr>
              <m:ctrlPr>
                <w:rPr>
                  <w:rFonts w:ascii="Cambria Math" w:hAnsi="Cambria Math"/>
                  <w:i/>
                  <w:noProof/>
                  <w:lang w:eastAsia="de-DE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de-DE"/>
                </w:rPr>
                <m:t>Cl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eastAsia="de-DE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de-DE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noProof/>
                      <w:lang w:eastAsia="de-DE"/>
                    </w:rPr>
                    <m:t>4</m:t>
                  </m:r>
                </m:sub>
              </m:sSub>
            </m:e>
            <m:sup>
              <m:r>
                <w:rPr>
                  <w:rFonts w:ascii="Cambria Math" w:hAnsi="Cambria Math"/>
                  <w:noProof/>
                  <w:lang w:eastAsia="de-DE"/>
                </w:rPr>
                <m:t>-</m:t>
              </m:r>
            </m:sup>
          </m:sSup>
          <m:r>
            <w:rPr>
              <w:rFonts w:ascii="Cambria Math" w:hAnsi="Cambria Math"/>
              <w:noProof/>
              <w:lang w:eastAsia="de-DE"/>
            </w:rPr>
            <m:t>]</m:t>
          </m:r>
        </m:oMath>
      </m:oMathPara>
    </w:p>
    <w:p w:rsidR="000D348D" w:rsidRDefault="000D348D" w:rsidP="000D348D">
      <w:pPr>
        <w:tabs>
          <w:tab w:val="left" w:pos="1701"/>
          <w:tab w:val="left" w:pos="1985"/>
        </w:tabs>
        <w:spacing w:after="0"/>
        <w:ind w:left="2124" w:hanging="2124"/>
      </w:pPr>
      <w:r>
        <w:tab/>
      </w:r>
      <w:r>
        <w:tab/>
      </w:r>
      <w:r>
        <w:tab/>
        <w:t>Bei Erhöhung der Konzentration der Kalium-Ionen durch Zugabe der K</w:t>
      </w:r>
      <w:r>
        <w:t>a</w:t>
      </w:r>
      <w:r>
        <w:t xml:space="preserve">liumchlorid-Lösung bzw. bei Erhöhung der Konzentration </w:t>
      </w:r>
      <w:proofErr w:type="gramStart"/>
      <w:r>
        <w:t>der Perchlorat</w:t>
      </w:r>
      <w:proofErr w:type="gramEnd"/>
      <w:r>
        <w:rPr>
          <w:vertAlign w:val="superscript"/>
        </w:rPr>
        <w:t>-</w:t>
      </w:r>
      <w:r>
        <w:t xml:space="preserve">-Ionen durch Zugabe der </w:t>
      </w:r>
      <w:proofErr w:type="spellStart"/>
      <w:r>
        <w:t>Perchlorsäure</w:t>
      </w:r>
      <w:proofErr w:type="spellEnd"/>
      <w:r>
        <w:t>-Lösung zur Kaliumperchlorat-Lösung fällt Kaliumperchlorat als weißer Feststoff aus. Durch die Zugabe von Kalium-Ionen bzw. Perchlorat</w:t>
      </w:r>
      <w:r>
        <w:rPr>
          <w:vertAlign w:val="superscript"/>
        </w:rPr>
        <w:t>—</w:t>
      </w:r>
      <w:r>
        <w:t>Ionen wird das Löslichkeitsprodukt von Kaliumperchlorat</w:t>
      </w:r>
      <w:r>
        <w:rPr>
          <w:vertAlign w:val="subscript"/>
        </w:rPr>
        <w:t xml:space="preserve"> </w:t>
      </w:r>
      <w:r>
        <w:t>in der wässrigen Lösung überschritten, sodass es zur zusätzlichen Bildung von festem Salz (Kaliumperchlorat) kommt. D</w:t>
      </w:r>
      <w:r>
        <w:t>a</w:t>
      </w:r>
      <w:r>
        <w:t xml:space="preserve">bei nimmt in Reagenzglas 1 und 3 die Konzentration an Kalium-Ionen und </w:t>
      </w:r>
      <w:proofErr w:type="spellStart"/>
      <w:r>
        <w:t>Perchlorart</w:t>
      </w:r>
      <w:proofErr w:type="spellEnd"/>
      <w:r>
        <w:t xml:space="preserve">-Ionen so lange ab, bis der Wert des Löslichkeitsproduktes wieder eingestellt wird. Nach der </w:t>
      </w:r>
      <w:r>
        <w:lastRenderedPageBreak/>
        <w:t xml:space="preserve">Einstellung des Gleichgewichts liegen dann in Reagenzglas 1 eine sehr geringe Konzentration an Perchlorat-Ionen, in Reagenzglas 3 eine sehr geringe Konzentration an Kalium-Ionen vor. Die zwangsläufig ebenfalls zugesetzten </w:t>
      </w:r>
      <w:proofErr w:type="spellStart"/>
      <w:r>
        <w:t>Fremdionen</w:t>
      </w:r>
      <w:proofErr w:type="spellEnd"/>
      <w:r>
        <w:t xml:space="preserve"> stören das Gleichgewicht aufgrund ihrer geringen Konzentration nicht. </w:t>
      </w:r>
    </w:p>
    <w:p w:rsidR="000D348D" w:rsidRDefault="000D348D" w:rsidP="000D348D">
      <w:pPr>
        <w:tabs>
          <w:tab w:val="left" w:pos="1701"/>
          <w:tab w:val="left" w:pos="1985"/>
        </w:tabs>
        <w:ind w:left="2124" w:hanging="2124"/>
        <w:rPr>
          <w:rFonts w:ascii="Times-Roman" w:hAnsi="Times-Roman" w:cs="Times-Roman"/>
          <w:color w:val="auto"/>
        </w:rPr>
      </w:pPr>
      <w:r>
        <w:tab/>
      </w:r>
      <w:r>
        <w:tab/>
      </w:r>
      <w:r>
        <w:tab/>
        <w:t xml:space="preserve">Die Zugabe von Natriumchlorid-Lösung zu Kaliumperchlorat-Lösung </w:t>
      </w:r>
      <w:r>
        <w:rPr>
          <w:rFonts w:ascii="Times-Roman" w:hAnsi="Times-Roman" w:cs="Times-Roman"/>
          <w:color w:val="auto"/>
        </w:rPr>
        <w:t xml:space="preserve">hat keinen Einfluss auf das Löslichkeitsprodukt von </w:t>
      </w:r>
      <w:r>
        <w:t>Kaliumperchlorat, da die zugefügten Ionen keine</w:t>
      </w:r>
      <w:r>
        <w:rPr>
          <w:rFonts w:ascii="Times-Roman" w:hAnsi="Times-Roman" w:cs="Times-Roman"/>
          <w:color w:val="auto"/>
        </w:rPr>
        <w:t xml:space="preserve"> Wirkung auf das Gleichgewicht der obengenannten Reaktion haben. </w:t>
      </w:r>
    </w:p>
    <w:p w:rsidR="000D348D" w:rsidRDefault="000D348D" w:rsidP="000D348D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Entsorgung der Lösungen im Abfluss. </w:t>
      </w:r>
    </w:p>
    <w:p w:rsidR="000D348D" w:rsidRDefault="000D348D" w:rsidP="000D348D">
      <w:pPr>
        <w:spacing w:line="276" w:lineRule="auto"/>
        <w:jc w:val="left"/>
      </w:pPr>
      <w:r>
        <w:t>Literatur:</w:t>
      </w:r>
      <w:r>
        <w:tab/>
      </w:r>
      <w:r>
        <w:tab/>
        <w:t xml:space="preserve">Dr. B.H. Brand, </w:t>
      </w:r>
      <w:r w:rsidRPr="00B16472">
        <w:t>http://www.bhbrand.de/downloads/loeslichkeitsprodukt</w:t>
      </w:r>
      <w:r>
        <w:t xml:space="preserve"> </w:t>
      </w:r>
      <w:r>
        <w:tab/>
      </w:r>
      <w:r>
        <w:tab/>
      </w:r>
      <w:r>
        <w:tab/>
      </w:r>
      <w:r w:rsidRPr="00B16472">
        <w:t>kurz.pdf</w:t>
      </w:r>
      <w:r>
        <w:t xml:space="preserve">, Seite 2 (zuletzt abgerufen am 19.08.2014 um 17:32 Uhr). </w:t>
      </w:r>
    </w:p>
    <w:p w:rsidR="000D348D" w:rsidRPr="00DA5865" w:rsidRDefault="000D348D" w:rsidP="000D348D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</w:rPr>
      </w:pPr>
    </w:p>
    <w:p w:rsidR="000D348D" w:rsidRDefault="000D348D" w:rsidP="000D348D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263015"/>
                <wp:effectExtent l="13970" t="8890" r="8890" b="13970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63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348D" w:rsidRPr="005F1E43" w:rsidRDefault="000D348D" w:rsidP="000D348D">
                            <w:pPr>
                              <w:rPr>
                                <w:color w:val="auto"/>
                              </w:rPr>
                            </w:pPr>
                            <w:r w:rsidRPr="005F1E43">
                              <w:rPr>
                                <w:color w:val="auto"/>
                              </w:rPr>
                              <w:t>Der Versuch „</w:t>
                            </w:r>
                            <w:proofErr w:type="spellStart"/>
                            <w:r w:rsidRPr="005F1E43">
                              <w:rPr>
                                <w:color w:val="auto"/>
                              </w:rPr>
                              <w:t>Gleichioniger</w:t>
                            </w:r>
                            <w:proofErr w:type="spellEnd"/>
                            <w:r w:rsidRPr="005F1E43">
                              <w:rPr>
                                <w:color w:val="auto"/>
                              </w:rPr>
                              <w:t xml:space="preserve"> Zusatz“ bietet sich als Unterrichtseinstieg in das Thema Löslic</w:t>
                            </w:r>
                            <w:r w:rsidRPr="005F1E43">
                              <w:rPr>
                                <w:color w:val="auto"/>
                              </w:rPr>
                              <w:t>h</w:t>
                            </w:r>
                            <w:r w:rsidRPr="005F1E43">
                              <w:rPr>
                                <w:color w:val="auto"/>
                              </w:rPr>
                              <w:t>keitsprodukt an, da hier eine Überschreitung des Löslichkeitsproduktes qualitativ zu beobac</w:t>
                            </w:r>
                            <w:r w:rsidRPr="005F1E43">
                              <w:rPr>
                                <w:color w:val="auto"/>
                              </w:rPr>
                              <w:t>h</w:t>
                            </w:r>
                            <w:r w:rsidRPr="005F1E43">
                              <w:rPr>
                                <w:color w:val="auto"/>
                              </w:rPr>
                              <w:t>ten ist. Außerdem können Kenntnisse über das chemische Gleichgewicht und über das Prinzip von Le Chatelier wiederholt werden, die für den weiteren Verlauf der Unterrichtssequenz u</w:t>
                            </w:r>
                            <w:r w:rsidRPr="005F1E43">
                              <w:rPr>
                                <w:color w:val="auto"/>
                              </w:rPr>
                              <w:t>n</w:t>
                            </w:r>
                            <w:r w:rsidRPr="005F1E43">
                              <w:rPr>
                                <w:color w:val="auto"/>
                              </w:rPr>
                              <w:t xml:space="preserve">abdingbar sind.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27" type="#_x0000_t202" style="width:462.45pt;height:9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" fillcolor="white [3201]" strokecolor="#c0504d [3205]" strokeweight="1pt">
                <v:stroke dashstyle="dash"/>
                <v:shadow color="#868686"/>
                <v:textbox>
                  <w:txbxContent>
                    <w:p w:rsidR="000D348D" w:rsidRPr="005F1E43" w:rsidRDefault="000D348D" w:rsidP="000D348D">
                      <w:pPr>
                        <w:rPr>
                          <w:color w:val="auto"/>
                        </w:rPr>
                      </w:pPr>
                      <w:r w:rsidRPr="005F1E43">
                        <w:rPr>
                          <w:color w:val="auto"/>
                        </w:rPr>
                        <w:t>Der Versuch „</w:t>
                      </w:r>
                      <w:proofErr w:type="spellStart"/>
                      <w:r w:rsidRPr="005F1E43">
                        <w:rPr>
                          <w:color w:val="auto"/>
                        </w:rPr>
                        <w:t>Gleichioniger</w:t>
                      </w:r>
                      <w:proofErr w:type="spellEnd"/>
                      <w:r w:rsidRPr="005F1E43">
                        <w:rPr>
                          <w:color w:val="auto"/>
                        </w:rPr>
                        <w:t xml:space="preserve"> Zusatz“ bietet sich als Unterrichtseinstieg in das Thema Löslic</w:t>
                      </w:r>
                      <w:r w:rsidRPr="005F1E43">
                        <w:rPr>
                          <w:color w:val="auto"/>
                        </w:rPr>
                        <w:t>h</w:t>
                      </w:r>
                      <w:r w:rsidRPr="005F1E43">
                        <w:rPr>
                          <w:color w:val="auto"/>
                        </w:rPr>
                        <w:t>keitsprodukt an, da hier eine Überschreitung des Löslichkeitsproduktes qualitativ zu beobac</w:t>
                      </w:r>
                      <w:r w:rsidRPr="005F1E43">
                        <w:rPr>
                          <w:color w:val="auto"/>
                        </w:rPr>
                        <w:t>h</w:t>
                      </w:r>
                      <w:r w:rsidRPr="005F1E43">
                        <w:rPr>
                          <w:color w:val="auto"/>
                        </w:rPr>
                        <w:t>ten ist. Außerdem können Kenntnisse über das chemische Gleichgewicht und über das Prinzip von Le Chatelier wiederholt werden, die für den weiteren Verlauf der Unterrichtssequenz u</w:t>
                      </w:r>
                      <w:r w:rsidRPr="005F1E43">
                        <w:rPr>
                          <w:color w:val="auto"/>
                        </w:rPr>
                        <w:t>n</w:t>
                      </w:r>
                      <w:r w:rsidRPr="005F1E43">
                        <w:rPr>
                          <w:color w:val="auto"/>
                        </w:rPr>
                        <w:t xml:space="preserve">abdingbar sind.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19A3" w:rsidRDefault="00B119A3"/>
    <w:sectPr w:rsidR="00B11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0562BA90"/>
    <w:lvl w:ilvl="0">
      <w:start w:val="2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8D"/>
    <w:rsid w:val="000D348D"/>
    <w:rsid w:val="00B1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48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348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348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348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348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348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348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348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348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348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348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348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348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3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3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3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3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3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3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D348D"/>
    <w:pPr>
      <w:spacing w:line="240" w:lineRule="auto"/>
    </w:pPr>
    <w:rPr>
      <w:bCs/>
      <w:color w:val="auto"/>
      <w:sz w:val="18"/>
      <w:szCs w:val="18"/>
    </w:rPr>
  </w:style>
  <w:style w:type="table" w:styleId="Tabellenraster">
    <w:name w:val="Table Grid"/>
    <w:basedOn w:val="NormaleTabelle"/>
    <w:uiPriority w:val="59"/>
    <w:rsid w:val="000D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8D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48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348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348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348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348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348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348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348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348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348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348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348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348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3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3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3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3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3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3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D348D"/>
    <w:pPr>
      <w:spacing w:line="240" w:lineRule="auto"/>
    </w:pPr>
    <w:rPr>
      <w:bCs/>
      <w:color w:val="auto"/>
      <w:sz w:val="18"/>
      <w:szCs w:val="18"/>
    </w:rPr>
  </w:style>
  <w:style w:type="table" w:styleId="Tabellenraster">
    <w:name w:val="Table Grid"/>
    <w:basedOn w:val="NormaleTabelle"/>
    <w:uiPriority w:val="59"/>
    <w:rsid w:val="000D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8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2014-08-26T17:33:00Z</cp:lastPrinted>
  <dcterms:created xsi:type="dcterms:W3CDTF">2014-08-26T17:31:00Z</dcterms:created>
  <dcterms:modified xsi:type="dcterms:W3CDTF">2014-08-26T17:33:00Z</dcterms:modified>
</cp:coreProperties>
</file>