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E1" w:rsidRDefault="007C24E1" w:rsidP="007C24E1">
      <w:pPr>
        <w:pStyle w:val="berschrift2"/>
        <w:numPr>
          <w:ilvl w:val="1"/>
          <w:numId w:val="2"/>
        </w:numPr>
        <w:jc w:val="left"/>
      </w:pPr>
      <w:bookmarkStart w:id="0" w:name="_Toc396827239"/>
      <w:bookmarkStart w:id="1" w:name="_GoBack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008A8" wp14:editId="23F90AD2">
                <wp:simplePos x="0" y="0"/>
                <wp:positionH relativeFrom="column">
                  <wp:posOffset>-60960</wp:posOffset>
                </wp:positionH>
                <wp:positionV relativeFrom="paragraph">
                  <wp:posOffset>765175</wp:posOffset>
                </wp:positionV>
                <wp:extent cx="5873115" cy="1427480"/>
                <wp:effectExtent l="10160" t="7620" r="12700" b="1270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4274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C24E1" w:rsidRPr="005F1E43" w:rsidRDefault="007C24E1" w:rsidP="007C24E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color w:val="auto"/>
                              </w:rPr>
                            </w:pPr>
                            <w:r w:rsidRPr="005F1E43">
                              <w:rPr>
                                <w:color w:val="auto"/>
                              </w:rPr>
                              <w:t xml:space="preserve">Der Versuch zeigt, dass das Löslichkeitsprodukt auch anhand einer Neutralisationstitration berechnet werden kann. Dabei neutralisieren die Hinzugefügten </w:t>
                            </w:r>
                            <w:proofErr w:type="spellStart"/>
                            <w:r w:rsidRPr="005F1E43">
                              <w:rPr>
                                <w:color w:val="auto"/>
                              </w:rPr>
                              <w:t>Oxonium</w:t>
                            </w:r>
                            <w:proofErr w:type="spellEnd"/>
                            <w:r w:rsidRPr="005F1E43">
                              <w:rPr>
                                <w:color w:val="auto"/>
                              </w:rPr>
                              <w:t xml:space="preserve">-Ionen aus der Säure die vorliegenden Hydroxid- Ionen der Salzlösung. Über das benötigte Volumen der Säure kann dann auf die Gesamtkonzentration der Hydroxid-Ionen geschlossen und letztendlich das Löslichkeitsprodukt berechnet werden.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008A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4.8pt;margin-top:60.25pt;width:462.45pt;height:1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" fillcolor="white [3201]" strokecolor="#4bacc6 [3208]" strokeweight="1pt">
                <v:stroke dashstyle="dash"/>
                <v:shadow color="#868686"/>
                <v:textbox>
                  <w:txbxContent>
                    <w:p w:rsidR="007C24E1" w:rsidRPr="005F1E43" w:rsidRDefault="007C24E1" w:rsidP="007C24E1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color w:val="auto"/>
                        </w:rPr>
                      </w:pPr>
                      <w:r w:rsidRPr="005F1E43">
                        <w:rPr>
                          <w:color w:val="auto"/>
                        </w:rPr>
                        <w:t xml:space="preserve">Der Versuch zeigt, dass das Löslichkeitsprodukt auch anhand einer Neutralisationstitration berechnet werden kann. Dabei neutralisieren die Hinzugefügten </w:t>
                      </w:r>
                      <w:proofErr w:type="spellStart"/>
                      <w:r w:rsidRPr="005F1E43">
                        <w:rPr>
                          <w:color w:val="auto"/>
                        </w:rPr>
                        <w:t>Oxonium</w:t>
                      </w:r>
                      <w:proofErr w:type="spellEnd"/>
                      <w:r w:rsidRPr="005F1E43">
                        <w:rPr>
                          <w:color w:val="auto"/>
                        </w:rPr>
                        <w:t xml:space="preserve">-Ionen aus der Säure die vorliegenden Hydroxid- Ionen der Salzlösung. Über das benötigte Volumen der Säure kann dann auf die Gesamtkonzentration der Hydroxid-Ionen geschlossen und letztendlich das Löslichkeitsprodukt berechnet werden.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V 2 – Bestimmung des Löslichkeitsprodukt von Calciumhydroxid durch Neutralisationstitration mit Salzsäure</w:t>
      </w:r>
      <w:bookmarkEnd w:id="0"/>
      <w:r>
        <w:t xml:space="preserve"> </w:t>
      </w:r>
    </w:p>
    <w:p w:rsidR="007C24E1" w:rsidRDefault="007C24E1" w:rsidP="007C24E1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C24E1" w:rsidRPr="009C5E28" w:rsidTr="00EC55D8">
        <w:tc>
          <w:tcPr>
            <w:tcW w:w="9322" w:type="dxa"/>
            <w:gridSpan w:val="9"/>
            <w:shd w:val="clear" w:color="auto" w:fill="4F81BD"/>
            <w:vAlign w:val="center"/>
          </w:tcPr>
          <w:p w:rsidR="007C24E1" w:rsidRPr="009C5E28" w:rsidRDefault="007C24E1" w:rsidP="00EC55D8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7C24E1" w:rsidRPr="009C5E28" w:rsidTr="00EC55D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C24E1" w:rsidRPr="00503BE8" w:rsidRDefault="007C24E1" w:rsidP="00EC55D8">
            <w:pPr>
              <w:spacing w:after="0" w:line="276" w:lineRule="auto"/>
              <w:jc w:val="center"/>
              <w:rPr>
                <w:b/>
                <w:bCs/>
              </w:rPr>
            </w:pPr>
            <w:r w:rsidRPr="00503BE8">
              <w:t>Calciumhydroxid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C24E1" w:rsidRPr="00503BE8" w:rsidRDefault="007C24E1" w:rsidP="00EC55D8">
            <w:pPr>
              <w:spacing w:after="0"/>
              <w:jc w:val="center"/>
            </w:pPr>
            <w:r w:rsidRPr="00503BE8">
              <w:t>H: 315- 318 -335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C24E1" w:rsidRPr="00503BE8" w:rsidRDefault="007C24E1" w:rsidP="00EC55D8">
            <w:pPr>
              <w:spacing w:after="0"/>
              <w:jc w:val="center"/>
            </w:pPr>
            <w:r w:rsidRPr="00503BE8">
              <w:t>P: 260- 302+352</w:t>
            </w:r>
          </w:p>
        </w:tc>
      </w:tr>
      <w:tr w:rsidR="007C24E1" w:rsidRPr="009C5E28" w:rsidTr="00EC55D8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7C24E1" w:rsidRPr="00503BE8" w:rsidRDefault="007C24E1" w:rsidP="00EC55D8">
            <w:pPr>
              <w:spacing w:after="0" w:line="276" w:lineRule="auto"/>
              <w:jc w:val="center"/>
              <w:rPr>
                <w:bCs/>
              </w:rPr>
            </w:pPr>
            <w:r w:rsidRPr="00503BE8">
              <w:rPr>
                <w:color w:val="auto"/>
              </w:rPr>
              <w:t xml:space="preserve">Natronlauge </w:t>
            </w:r>
            <w:r>
              <w:rPr>
                <w:color w:val="auto"/>
              </w:rPr>
              <w:t xml:space="preserve">(c = 0,1 </w:t>
            </w:r>
            <w:proofErr w:type="spellStart"/>
            <w:r>
              <w:rPr>
                <w:color w:val="auto"/>
              </w:rPr>
              <w:t>mol</w:t>
            </w:r>
            <w:proofErr w:type="spellEnd"/>
            <w:r>
              <w:rPr>
                <w:color w:val="auto"/>
              </w:rPr>
              <w:t>/L)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7C24E1" w:rsidRPr="00503BE8" w:rsidRDefault="007C24E1" w:rsidP="00EC55D8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503BE8">
              <w:rPr>
                <w:sz w:val="22"/>
                <w:szCs w:val="22"/>
              </w:rPr>
              <w:t xml:space="preserve">H: </w:t>
            </w:r>
            <w:r>
              <w:rPr>
                <w:sz w:val="22"/>
                <w:szCs w:val="22"/>
              </w:rPr>
              <w:t>290 -314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C24E1" w:rsidRPr="00503BE8" w:rsidRDefault="007C24E1" w:rsidP="00EC55D8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503BE8">
              <w:rPr>
                <w:sz w:val="22"/>
                <w:szCs w:val="22"/>
              </w:rPr>
              <w:t xml:space="preserve">P: </w:t>
            </w:r>
            <w:r>
              <w:rPr>
                <w:sz w:val="22"/>
                <w:szCs w:val="22"/>
              </w:rPr>
              <w:t>280- 301+330+331- 305+338+351</w:t>
            </w:r>
          </w:p>
        </w:tc>
      </w:tr>
      <w:tr w:rsidR="007C24E1" w:rsidRPr="009C5E28" w:rsidTr="00EC55D8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7C24E1" w:rsidRPr="00503BE8" w:rsidRDefault="007C24E1" w:rsidP="00EC55D8">
            <w:pPr>
              <w:spacing w:after="0"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Salzsäure (c = 0,1 </w:t>
            </w:r>
            <w:proofErr w:type="spellStart"/>
            <w:r>
              <w:rPr>
                <w:color w:val="auto"/>
              </w:rPr>
              <w:t>mol</w:t>
            </w:r>
            <w:proofErr w:type="spellEnd"/>
            <w:r>
              <w:rPr>
                <w:color w:val="auto"/>
              </w:rPr>
              <w:t>/L)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7C24E1" w:rsidRPr="00503BE8" w:rsidRDefault="007C24E1" w:rsidP="00EC55D8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H: 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C24E1" w:rsidRPr="00503BE8" w:rsidRDefault="007C24E1" w:rsidP="00EC55D8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P: - </w:t>
            </w:r>
          </w:p>
        </w:tc>
      </w:tr>
      <w:tr w:rsidR="007C24E1" w:rsidRPr="009C5E28" w:rsidTr="00EC55D8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7C24E1" w:rsidRDefault="007C24E1" w:rsidP="00EC55D8">
            <w:pPr>
              <w:spacing w:after="0"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Phenolphtalein-Lösung</w:t>
            </w:r>
          </w:p>
          <w:p w:rsidR="007C24E1" w:rsidRDefault="007C24E1" w:rsidP="00EC55D8">
            <w:pPr>
              <w:spacing w:after="0"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(0,1 %</w:t>
            </w:r>
            <w:proofErr w:type="spellStart"/>
            <w:r>
              <w:rPr>
                <w:color w:val="auto"/>
              </w:rPr>
              <w:t>ige</w:t>
            </w:r>
            <w:proofErr w:type="spellEnd"/>
            <w:r>
              <w:rPr>
                <w:color w:val="auto"/>
              </w:rPr>
              <w:t xml:space="preserve"> Lösung)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7C24E1" w:rsidRDefault="007C24E1" w:rsidP="00EC55D8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H: 226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C24E1" w:rsidRDefault="007C24E1" w:rsidP="00EC55D8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P: - </w:t>
            </w:r>
          </w:p>
        </w:tc>
      </w:tr>
      <w:tr w:rsidR="007C24E1" w:rsidRPr="009C5E28" w:rsidTr="00EC55D8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C24E1" w:rsidRPr="009C5E28" w:rsidRDefault="007C24E1" w:rsidP="00EC5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6F44B972" wp14:editId="3A8B32CA">
                  <wp:extent cx="504190" cy="50419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C24E1" w:rsidRPr="009C5E28" w:rsidRDefault="007C24E1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9284A46" wp14:editId="69B61F91">
                  <wp:extent cx="504190" cy="50419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C24E1" w:rsidRPr="009C5E28" w:rsidRDefault="007C24E1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AE5EA1A" wp14:editId="3152948E">
                  <wp:extent cx="503555" cy="503555"/>
                  <wp:effectExtent l="0" t="0" r="0" b="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C24E1" w:rsidRPr="009C5E28" w:rsidRDefault="007C24E1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819CC66" wp14:editId="20C34377">
                  <wp:extent cx="504190" cy="50419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C24E1" w:rsidRPr="009C5E28" w:rsidRDefault="007C24E1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E0000F9" wp14:editId="61323B01">
                  <wp:extent cx="504190" cy="50419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C24E1" w:rsidRPr="009C5E28" w:rsidRDefault="007C24E1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F0E7A71" wp14:editId="497C1C2A">
                  <wp:extent cx="504190" cy="50419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C24E1" w:rsidRPr="009C5E28" w:rsidRDefault="007C24E1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9514C4D" wp14:editId="7EE90607">
                  <wp:extent cx="504190" cy="50419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C24E1" w:rsidRPr="009C5E28" w:rsidRDefault="007C24E1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C993580" wp14:editId="2CA64C30">
                  <wp:extent cx="511175" cy="511175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C24E1" w:rsidRPr="009C5E28" w:rsidRDefault="007C24E1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2C59B5E" wp14:editId="71E61506">
                  <wp:extent cx="504190" cy="50419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24E1" w:rsidRDefault="007C24E1" w:rsidP="007C24E1">
      <w:pPr>
        <w:tabs>
          <w:tab w:val="left" w:pos="1701"/>
          <w:tab w:val="left" w:pos="1985"/>
        </w:tabs>
        <w:ind w:left="1980" w:hanging="1980"/>
      </w:pPr>
    </w:p>
    <w:p w:rsidR="007C24E1" w:rsidRDefault="007C24E1" w:rsidP="007C24E1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Erlenmeyerkolben, Stativ, Klemme, Muffe, Bürette, Trichter, Pipette, </w:t>
      </w:r>
      <w:proofErr w:type="spellStart"/>
      <w:r>
        <w:t>Peleusball</w:t>
      </w:r>
      <w:proofErr w:type="spellEnd"/>
    </w:p>
    <w:p w:rsidR="007C24E1" w:rsidRPr="00ED07C2" w:rsidRDefault="007C24E1" w:rsidP="007C24E1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Calciumhydroxid, Natronlauge (c = 0,1 </w:t>
      </w:r>
      <w:proofErr w:type="spellStart"/>
      <w:r>
        <w:t>mol</w:t>
      </w:r>
      <w:proofErr w:type="spellEnd"/>
      <w:r>
        <w:t>/L), Salzsäure (c = 0,1 </w:t>
      </w:r>
      <w:proofErr w:type="spellStart"/>
      <w:r>
        <w:t>mol</w:t>
      </w:r>
      <w:proofErr w:type="spellEnd"/>
      <w:r>
        <w:t xml:space="preserve">/L), Phenolphtalein-Lösung </w:t>
      </w:r>
      <w:r w:rsidRPr="00AE2342">
        <w:t>(0,1%ige Lösung)</w:t>
      </w:r>
    </w:p>
    <w:p w:rsidR="007C24E1" w:rsidRDefault="007C24E1" w:rsidP="007C24E1">
      <w:pPr>
        <w:tabs>
          <w:tab w:val="left" w:pos="1701"/>
          <w:tab w:val="left" w:pos="1985"/>
        </w:tabs>
        <w:spacing w:after="0"/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Es wird eine gesättigte </w:t>
      </w:r>
      <w:proofErr w:type="spellStart"/>
      <w:r>
        <w:t>Calciumhydroxidlösungen</w:t>
      </w:r>
      <w:proofErr w:type="spellEnd"/>
      <w:r>
        <w:t xml:space="preserve"> mit Natronlauge (c = 0,1 </w:t>
      </w:r>
      <w:proofErr w:type="spellStart"/>
      <w:r>
        <w:t>mol</w:t>
      </w:r>
      <w:proofErr w:type="spellEnd"/>
      <w:r>
        <w:t>/L) angesetzt</w:t>
      </w:r>
      <w:r w:rsidR="003E5E6B">
        <w:t>. Von dieser gesättigten Lösung</w:t>
      </w:r>
      <w:r>
        <w:t xml:space="preserve"> werden 20 </w:t>
      </w:r>
      <w:proofErr w:type="spellStart"/>
      <w:r>
        <w:t>mL</w:t>
      </w:r>
      <w:proofErr w:type="spellEnd"/>
      <w:r>
        <w:t xml:space="preserve"> in </w:t>
      </w:r>
      <w:proofErr w:type="gramStart"/>
      <w:r>
        <w:t>einen Erlenmeyerkolben</w:t>
      </w:r>
      <w:proofErr w:type="gramEnd"/>
      <w:r>
        <w:t xml:space="preserve"> vorgelegt und mit einigen Tropfen Phenolphtalein-Lösung (5% in Ethanol/Wasser) versetzt. Anschließend wird die Bürette mit Salzsäure (c = 0,1 </w:t>
      </w:r>
      <w:proofErr w:type="spellStart"/>
      <w:r>
        <w:t>mol</w:t>
      </w:r>
      <w:proofErr w:type="spellEnd"/>
      <w:r>
        <w:t>/L) gefüllt.</w:t>
      </w:r>
    </w:p>
    <w:p w:rsidR="007C24E1" w:rsidRDefault="007C24E1" w:rsidP="007C24E1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  <w:t>Die Lösung wird bis zur Entfärbung Salzsäure titriert und das benötigte Volumen an Salzsäure wird notiert.</w:t>
      </w:r>
    </w:p>
    <w:p w:rsidR="007C24E1" w:rsidRDefault="007C24E1" w:rsidP="007C24E1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</w:r>
    </w:p>
    <w:p w:rsidR="007C24E1" w:rsidRDefault="007C24E1" w:rsidP="007C24E1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Es wurden 2</w:t>
      </w:r>
      <w:r w:rsidR="003E5E6B">
        <w:t>2</w:t>
      </w:r>
      <w:r>
        <w:t> </w:t>
      </w:r>
      <w:proofErr w:type="spellStart"/>
      <w:r>
        <w:t>mL</w:t>
      </w:r>
      <w:proofErr w:type="spellEnd"/>
      <w:r>
        <w:t xml:space="preserve"> bis zur Entfärbung der Lösung benötigt.</w:t>
      </w:r>
    </w:p>
    <w:p w:rsidR="007C24E1" w:rsidRDefault="007C24E1" w:rsidP="007C24E1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22C18A02" wp14:editId="75D83EAC">
            <wp:extent cx="2933700" cy="1614230"/>
            <wp:effectExtent l="0" t="666750" r="0" b="63373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820_102352.jpg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933979" cy="1614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24E1" w:rsidRDefault="007C24E1" w:rsidP="007C24E1">
      <w:pPr>
        <w:pStyle w:val="Beschriftung"/>
        <w:jc w:val="left"/>
      </w:pPr>
      <w:r>
        <w:t xml:space="preserve">Abb. </w:t>
      </w:r>
      <w:fldSimple w:instr=" SEQ Abb. \* ARABIC ">
        <w:r w:rsidR="00BD5E96">
          <w:rPr>
            <w:noProof/>
          </w:rPr>
          <w:t>1</w:t>
        </w:r>
      </w:fldSimple>
      <w:r>
        <w:t xml:space="preserve"> – </w:t>
      </w:r>
      <w:r>
        <w:rPr>
          <w:noProof/>
        </w:rPr>
        <w:t xml:space="preserve">Versuchsaufbau </w:t>
      </w:r>
    </w:p>
    <w:p w:rsidR="007C24E1" w:rsidRDefault="007C24E1" w:rsidP="007C24E1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  <w:t xml:space="preserve">Für die Lösung soll das Löslichkeitsprodukt des Calciumhydroxids berechnet werden. </w:t>
      </w:r>
    </w:p>
    <w:p w:rsidR="007C24E1" w:rsidRPr="005F1E43" w:rsidRDefault="00BD5E96" w:rsidP="007C24E1">
      <w:pPr>
        <w:tabs>
          <w:tab w:val="left" w:pos="1701"/>
          <w:tab w:val="left" w:pos="1985"/>
        </w:tabs>
        <w:ind w:left="1980" w:hanging="1980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Ca(OH)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(s)</m:t>
              </m:r>
            </m:sub>
          </m:sSub>
          <m:r>
            <m:rPr>
              <m:nor/>
            </m:rPr>
            <w:rPr>
              <w:rFonts w:ascii="Cambria Math" w:hAnsi="Cambria Math"/>
              <w:lang w:val="en-US"/>
            </w:rPr>
            <m:t xml:space="preserve"> ⇌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Ca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2+</m:t>
                  </m:r>
                </m:sup>
              </m:sSup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(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aq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)</m:t>
              </m:r>
            </m:sub>
          </m:sSub>
          <m:r>
            <m:rPr>
              <m:nor/>
            </m:rPr>
            <w:rPr>
              <w:rFonts w:ascii="Cambria Math" w:hAnsi="Cambria Math"/>
              <w:lang w:val="en-US"/>
            </w:rPr>
            <m:t xml:space="preserve">+2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OH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</m:sup>
              </m:sSup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(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aq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)</m:t>
              </m:r>
            </m:sub>
          </m:sSub>
        </m:oMath>
      </m:oMathPara>
    </w:p>
    <w:p w:rsidR="007C24E1" w:rsidRPr="0088546A" w:rsidRDefault="007C24E1" w:rsidP="007C24E1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5F1E43">
        <w:rPr>
          <w:rFonts w:eastAsiaTheme="minorEastAsia"/>
          <w:lang w:val="en-US"/>
        </w:rPr>
        <w:tab/>
      </w:r>
      <w:r w:rsidRPr="005F1E43">
        <w:rPr>
          <w:rFonts w:eastAsiaTheme="minorEastAsia"/>
          <w:lang w:val="en-US"/>
        </w:rPr>
        <w:tab/>
      </w:r>
      <w:r>
        <w:rPr>
          <w:rFonts w:eastAsiaTheme="minorEastAsia"/>
        </w:rPr>
        <w:t xml:space="preserve">Unter Berücksichtigung der stöchiometrischen Koeffizienten kann die Gleichung für das Löslichkeitsproduktes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eastAsiaTheme="minorEastAsia" w:hAnsi="Cambria Math"/>
              </w:rPr>
              <m:t>K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L</m:t>
            </m:r>
          </m:sub>
        </m:sSub>
        <m:r>
          <m:rPr>
            <m:nor/>
          </m:rPr>
          <w:rPr>
            <w:rFonts w:ascii="Cambria Math" w:eastAsiaTheme="minorEastAsia" w:hAnsi="Cambria Math"/>
          </w:rPr>
          <m:t>(</m:t>
        </m:r>
        <w:proofErr w:type="spellStart"/>
        <m:r>
          <m:rPr>
            <m:nor/>
          </m:rPr>
          <w:rPr>
            <w:rFonts w:ascii="Cambria Math" w:hAnsi="Cambria Math"/>
          </w:rPr>
          <m:t>Ca</m:t>
        </m:r>
        <w:proofErr w:type="spellEnd"/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OH)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eastAsiaTheme="minorEastAsia"/>
        </w:rPr>
        <w:t xml:space="preserve"> aufgestellt werden:</w:t>
      </w:r>
    </w:p>
    <w:p w:rsidR="007C24E1" w:rsidRPr="005F1E43" w:rsidRDefault="00BD5E96" w:rsidP="007C24E1">
      <w:pPr>
        <w:tabs>
          <w:tab w:val="left" w:pos="1701"/>
          <w:tab w:val="left" w:pos="1985"/>
        </w:tabs>
        <w:ind w:left="1980" w:hanging="1980"/>
        <w:rPr>
          <w:lang w:val="en-US"/>
          <w:oMath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L</m:t>
              </m:r>
            </m:sub>
          </m:sSub>
          <m:r>
            <m:rPr>
              <m:nor/>
            </m:rPr>
            <w:rPr>
              <w:rFonts w:ascii="Cambria Math" w:eastAsiaTheme="minorEastAsia" w:hAnsi="Cambria Math"/>
              <w:lang w:val="en-US"/>
            </w:rPr>
            <m:t>(</m:t>
          </m:r>
          <m:r>
            <m:rPr>
              <m:nor/>
            </m:rPr>
            <w:rPr>
              <w:rFonts w:ascii="Cambria Math" w:hAnsi="Cambria Math"/>
              <w:lang w:val="en-US"/>
            </w:rPr>
            <m:t>Ca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OH)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d>
          <m:r>
            <m:rPr>
              <m:nor/>
            </m:rPr>
            <w:rPr>
              <w:rFonts w:ascii="Cambria Math" w:hAnsi="Cambria Math"/>
              <w:lang w:val="en-US"/>
            </w:rPr>
            <m:t xml:space="preserve"> </m:t>
          </m:r>
          <m:r>
            <m:rPr>
              <m:nor/>
            </m:rPr>
            <w:rPr>
              <w:rFonts w:ascii="Cambria Math" w:hAnsi="Cambria Math"/>
              <w:lang w:val="en-US"/>
            </w:rPr>
            <m:t>=</m:t>
          </m:r>
          <m:r>
            <m:rPr>
              <m:nor/>
            </m:rPr>
            <w:rPr>
              <w:rFonts w:ascii="Cambria Math" w:hAnsi="Cambria Math"/>
              <w:lang w:val="en-US"/>
            </w:rPr>
            <m:t xml:space="preserve"> </m:t>
          </m:r>
          <m:r>
            <m:rPr>
              <m:nor/>
            </m:rPr>
            <w:rPr>
              <w:rFonts w:ascii="Cambria Math" w:hAnsi="Cambria Math"/>
              <w:lang w:val="en-US"/>
            </w:rPr>
            <m:t xml:space="preserve">c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Ca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2+</m:t>
                  </m:r>
                </m:sup>
              </m:sSup>
            </m:e>
          </m:d>
          <m:r>
            <m:rPr>
              <m:nor/>
            </m:rP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c</m:t>
              </m:r>
            </m:e>
            <m:sup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nor/>
            </m:rPr>
            <w:rPr>
              <w:rFonts w:ascii="Cambria Math" w:hAnsi="Cambria Math"/>
              <w:lang w:val="en-US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OH</m:t>
              </m:r>
            </m:e>
            <m:sup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-</m:t>
              </m:r>
            </m:sup>
          </m:sSup>
          <m:r>
            <m:rPr>
              <m:nor/>
            </m:rPr>
            <w:rPr>
              <w:rFonts w:ascii="Cambria Math" w:hAnsi="Cambria Math"/>
              <w:lang w:val="en-US"/>
            </w:rPr>
            <m:t>)</m:t>
          </m:r>
        </m:oMath>
      </m:oMathPara>
    </w:p>
    <w:p w:rsidR="007C24E1" w:rsidRDefault="003E5E6B" w:rsidP="007C24E1">
      <w:pPr>
        <w:tabs>
          <w:tab w:val="left" w:pos="1701"/>
          <w:tab w:val="left" w:pos="1985"/>
        </w:tabs>
        <w:ind w:left="1980" w:hanging="1980"/>
      </w:pPr>
      <w:r>
        <w:rPr>
          <w:lang w:val="en-US"/>
        </w:rPr>
        <w:tab/>
      </w:r>
      <w:r>
        <w:rPr>
          <w:lang w:val="en-US"/>
        </w:rPr>
        <w:tab/>
      </w:r>
      <w:r w:rsidR="007C24E1">
        <w:t>Als erstes wird die Konzentration der Hydroxid-Ionen in der Lösung berechnet. Es gilt: n(OH</w:t>
      </w:r>
      <w:r w:rsidR="007C24E1" w:rsidRPr="00CA1ACC">
        <w:rPr>
          <w:vertAlign w:val="superscript"/>
        </w:rPr>
        <w:t>-</w:t>
      </w:r>
      <w:r w:rsidR="007C24E1">
        <w:t>) = n(HCl)</w:t>
      </w:r>
    </w:p>
    <w:p w:rsidR="007C24E1" w:rsidRDefault="007C24E1" w:rsidP="007C24E1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V(HCl) = 0,022 L</w:t>
      </w:r>
      <w:r>
        <w:tab/>
      </w:r>
      <w:r>
        <w:tab/>
      </w:r>
      <w:r>
        <w:tab/>
      </w:r>
      <w:r>
        <w:tab/>
        <w:t>V(</w:t>
      </w:r>
      <w:proofErr w:type="spellStart"/>
      <w:r>
        <w:t>Ca</w:t>
      </w:r>
      <w:proofErr w:type="spellEnd"/>
      <w:r>
        <w:t>(OH)</w:t>
      </w:r>
      <w:r w:rsidRPr="0088546A">
        <w:rPr>
          <w:vertAlign w:val="subscript"/>
        </w:rPr>
        <w:t>2</w:t>
      </w:r>
      <w:r>
        <w:t>) = 0,020 L</w:t>
      </w:r>
    </w:p>
    <w:p w:rsidR="007C24E1" w:rsidRPr="0088546A" w:rsidRDefault="007C24E1" w:rsidP="007C24E1">
      <w:pPr>
        <w:tabs>
          <w:tab w:val="left" w:pos="1701"/>
          <w:tab w:val="left" w:pos="1985"/>
        </w:tabs>
        <w:ind w:left="1980" w:hanging="1980"/>
        <w:jc w:val="center"/>
        <w:rPr>
          <w:rFonts w:eastAsiaTheme="minorEastAsia"/>
          <w:oMath/>
        </w:rPr>
      </w:pPr>
      <m:oMathPara>
        <m:oMath>
          <m:r>
            <m:rPr>
              <m:nor/>
            </m:rPr>
            <w:rPr>
              <w:rFonts w:ascii="Cambria Math" w:hAnsi="Cambria Math"/>
            </w:rPr>
            <m:t>c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 w:hAnsi="Cambria Math"/>
                </w:rPr>
                <m:t>(OH</m:t>
              </m:r>
            </m:e>
            <m:sup>
              <m:r>
                <m:rPr>
                  <m:nor/>
                </m:rPr>
                <w:rPr>
                  <w:rFonts w:ascii="Cambria Math" w:hAnsi="Cambria Math"/>
                </w:rPr>
                <m:t>-</m:t>
              </m:r>
            </m:sup>
          </m:sSup>
          <m:r>
            <m:rPr>
              <m:nor/>
            </m:rPr>
            <w:rPr>
              <w:rFonts w:ascii="Cambria Math" w:hAnsi="Cambria Math"/>
            </w:rPr>
            <m:t>) ∙V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>OH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-</m:t>
                  </m:r>
                </m:sup>
              </m:sSup>
            </m:e>
          </m:d>
          <m:r>
            <m:rPr>
              <m:nor/>
            </m:rPr>
            <w:rPr>
              <w:rFonts w:ascii="Cambria Math" w:hAnsi="Cambria Math"/>
            </w:rPr>
            <m:t>=c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nor/>
                </m:rPr>
                <w:rPr>
                  <w:rFonts w:ascii="Cambria Math" w:hAnsi="Cambria Math"/>
                </w:rPr>
                <m:t>HCl</m:t>
              </m:r>
            </m:e>
          </m:d>
          <m:r>
            <m:rPr>
              <m:nor/>
            </m:rPr>
            <w:rPr>
              <w:rFonts w:ascii="Cambria Math" w:hAnsi="Cambria Math"/>
            </w:rPr>
            <m:t>∙V(HCl)</m:t>
          </m:r>
        </m:oMath>
      </m:oMathPara>
    </w:p>
    <w:p w:rsidR="007C24E1" w:rsidRPr="005F1E43" w:rsidRDefault="007C24E1" w:rsidP="007C24E1">
      <w:pPr>
        <w:tabs>
          <w:tab w:val="left" w:pos="1701"/>
          <w:tab w:val="left" w:pos="1985"/>
        </w:tabs>
        <w:ind w:left="1980" w:hanging="1980"/>
        <w:rPr>
          <w:rFonts w:eastAsiaTheme="minorEastAsia"/>
          <w:lang w:val="en-US"/>
        </w:rPr>
      </w:pPr>
      <m:oMathPara>
        <m:oMath>
          <m:r>
            <m:rPr>
              <m:nor/>
            </m:rPr>
            <w:rPr>
              <w:rFonts w:ascii="Cambria Math" w:hAnsi="Cambria Math"/>
              <w:lang w:val="en-US"/>
            </w:rPr>
            <m:t>c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(OH</m:t>
              </m:r>
            </m:e>
            <m:sup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-</m:t>
              </m:r>
            </m:sup>
          </m:sSup>
          <m:r>
            <m:rPr>
              <m:nor/>
            </m:rPr>
            <w:rPr>
              <w:rFonts w:ascii="Cambria Math" w:hAnsi="Cambria Math"/>
              <w:lang w:val="en-US"/>
            </w:rPr>
            <m:t xml:space="preserve">)=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HCl</m:t>
                  </m:r>
                </m:e>
              </m:d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∙V(HCl)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OH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</m:sup>
                  </m:sSup>
                </m:e>
              </m:d>
            </m:den>
          </m:f>
        </m:oMath>
      </m:oMathPara>
    </w:p>
    <w:p w:rsidR="007C24E1" w:rsidRPr="005F1E43" w:rsidRDefault="007C24E1" w:rsidP="007C24E1">
      <w:pPr>
        <w:tabs>
          <w:tab w:val="left" w:pos="1701"/>
          <w:tab w:val="left" w:pos="1985"/>
        </w:tabs>
        <w:ind w:left="1980" w:hanging="1980"/>
        <w:rPr>
          <w:rFonts w:ascii="Cambria Math" w:hAnsi="Cambria Math"/>
          <w:lang w:val="en-US"/>
          <w:oMath/>
        </w:rPr>
      </w:pPr>
      <m:oMathPara>
        <m:oMath>
          <m:r>
            <m:rPr>
              <m:nor/>
            </m:rPr>
            <w:rPr>
              <w:rFonts w:ascii="Cambria Math" w:hAnsi="Cambria Math"/>
              <w:lang w:val="en-US"/>
            </w:rPr>
            <w:lastRenderedPageBreak/>
            <m:t>c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(OH</m:t>
              </m:r>
            </m:e>
            <m:sup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-</m:t>
              </m:r>
            </m:sup>
          </m:sSup>
          <m:r>
            <m:rPr>
              <m:nor/>
            </m:rPr>
            <w:rPr>
              <w:rFonts w:ascii="Cambria Math" w:hAnsi="Cambria Math"/>
              <w:lang w:val="en-US"/>
            </w:rPr>
            <m:t>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 xml:space="preserve">0,1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mol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L</m:t>
                  </m:r>
                </m:den>
              </m:f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 xml:space="preserve"> ∙0,022 L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0,020 L</m:t>
              </m:r>
            </m:den>
          </m:f>
          <m:r>
            <m:rPr>
              <m:nor/>
            </m:rPr>
            <w:rPr>
              <w:rFonts w:ascii="Cambria Math"/>
              <w:lang w:val="en-US"/>
            </w:rPr>
            <m:t xml:space="preserve"> = 0,11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/>
                  <w:lang w:val="en-US"/>
                </w:rPr>
                <m:t>mol</m:t>
              </m:r>
            </m:num>
            <m:den>
              <m:r>
                <m:rPr>
                  <m:nor/>
                </m:rPr>
                <w:rPr>
                  <w:rFonts w:ascii="Cambria Math"/>
                  <w:lang w:val="en-US"/>
                </w:rPr>
                <m:t>L</m:t>
              </m:r>
            </m:den>
          </m:f>
        </m:oMath>
      </m:oMathPara>
    </w:p>
    <w:p w:rsidR="003E5E6B" w:rsidRDefault="007C24E1" w:rsidP="003E5E6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5F1E43">
        <w:rPr>
          <w:lang w:val="en-US"/>
        </w:rPr>
        <w:tab/>
      </w:r>
      <w:r w:rsidRPr="005F1E43">
        <w:rPr>
          <w:lang w:val="en-US"/>
        </w:rPr>
        <w:tab/>
      </w:r>
      <w:r w:rsidR="003E5E6B">
        <w:rPr>
          <w:rFonts w:eastAsiaTheme="minorEastAsia"/>
        </w:rPr>
        <w:t xml:space="preserve">Für die Berechnung des Löslichkeitsproduktes muss abschließend noch die Konzentration der Hydroxid-Ionen berücksichtigt werden, die bereits </w:t>
      </w:r>
      <w:r w:rsidR="003E5E6B">
        <w:rPr>
          <w:rFonts w:eastAsiaTheme="minorEastAsia"/>
        </w:rPr>
        <w:t>aus der Natronlauge stammen:</w:t>
      </w:r>
    </w:p>
    <w:p w:rsidR="003E5E6B" w:rsidRPr="003E5E6B" w:rsidRDefault="003E5E6B" w:rsidP="003E5E6B">
      <w:pPr>
        <w:tabs>
          <w:tab w:val="left" w:pos="1701"/>
          <w:tab w:val="left" w:pos="1985"/>
        </w:tabs>
        <w:ind w:left="1980" w:hanging="1980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(</m:t>
                  </m:r>
                  <m:r>
                    <w:rPr>
                      <w:rFonts w:ascii="Cambria Math" w:eastAsiaTheme="minorEastAsia" w:hAnsi="Cambria Math"/>
                    </w:rPr>
                    <m:t>OH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)</m:t>
              </m:r>
            </m:e>
            <m:sub>
              <m:r>
                <w:rPr>
                  <w:rFonts w:ascii="Cambria Math" w:eastAsiaTheme="minorEastAsia" w:hAnsi="Cambria Math"/>
                </w:rPr>
                <m:t>NaOH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r>
            <m:rPr>
              <m:nor/>
            </m:rPr>
            <w:rPr>
              <w:rFonts w:ascii="Cambria Math" w:eastAsiaTheme="minorEastAsia" w:hAnsi="Cambria Math"/>
              <w:lang w:val="en-US"/>
            </w:rPr>
            <m:t xml:space="preserve">0,1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w:proofErr w:type="spellStart"/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mol</m:t>
              </m:r>
              <w:proofErr w:type="spellEnd"/>
            </m:num>
            <m:den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L</m:t>
              </m:r>
            </m:den>
          </m:f>
        </m:oMath>
      </m:oMathPara>
    </w:p>
    <w:p w:rsidR="003E5E6B" w:rsidRPr="003E5E6B" w:rsidRDefault="003E5E6B" w:rsidP="003E5E6B">
      <w:pPr>
        <w:tabs>
          <w:tab w:val="left" w:pos="1701"/>
          <w:tab w:val="left" w:pos="1985"/>
        </w:tabs>
        <w:ind w:left="1980" w:hanging="1980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(</m:t>
                      </m:r>
                      <m:r>
                        <w:rPr>
                          <w:rFonts w:ascii="Cambria Math" w:eastAsiaTheme="minorEastAsia" w:hAnsi="Cambria Math"/>
                        </w:rPr>
                        <m:t>OH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)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gesamt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 xml:space="preserve">-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(</m:t>
                  </m:r>
                  <m:r>
                    <w:rPr>
                      <w:rFonts w:ascii="Cambria Math" w:eastAsiaTheme="minorEastAsia" w:hAnsi="Cambria Math"/>
                    </w:rPr>
                    <m:t>OH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)</m:t>
              </m:r>
            </m:e>
            <m:sub>
              <m:r>
                <w:rPr>
                  <w:rFonts w:ascii="Cambria Math" w:eastAsiaTheme="minorEastAsia" w:hAnsi="Cambria Math"/>
                </w:rPr>
                <m:t>NaOH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(</m:t>
                  </m:r>
                  <m:r>
                    <w:rPr>
                      <w:rFonts w:ascii="Cambria Math" w:eastAsiaTheme="minorEastAsia" w:hAnsi="Cambria Math"/>
                    </w:rPr>
                    <m:t>OH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)</m:t>
              </m:r>
            </m:e>
            <m:sub>
              <m:r>
                <w:rPr>
                  <w:rFonts w:ascii="Cambria Math" w:eastAsiaTheme="minorEastAsia" w:hAnsi="Cambria Math"/>
                </w:rPr>
                <m:t>Ca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OH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/>
            </w:rPr>
            <m:t xml:space="preserve">=0,01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w:proofErr w:type="spellStart"/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mol</m:t>
              </m:r>
              <w:proofErr w:type="spellEnd"/>
            </m:num>
            <m:den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L</m:t>
              </m:r>
            </m:den>
          </m:f>
        </m:oMath>
      </m:oMathPara>
    </w:p>
    <w:p w:rsidR="007C24E1" w:rsidRDefault="003E5E6B" w:rsidP="007C24E1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ab/>
      </w:r>
      <w:r>
        <w:tab/>
      </w:r>
      <w:r w:rsidR="007C24E1">
        <w:t xml:space="preserve">Der Reaktionsgleichung des Lösungsvorganges von Calciumhydroxid kann entnommen werden, dass in der Calciumhydroxid-Lösung doppelt so viele Hydroxid-Ionen wie Calcium-Ionen vorliegen. Daher gilt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c(Ca</m:t>
            </m:r>
          </m:e>
          <m:sup>
            <m:r>
              <m:rPr>
                <m:nor/>
              </m:rPr>
              <w:rPr>
                <w:rFonts w:ascii="Cambria Math" w:hAnsi="Cambria Math"/>
              </w:rPr>
              <m:t>2+</m:t>
            </m:r>
          </m:sup>
        </m:sSup>
        <m:r>
          <m:rPr>
            <m:nor/>
          </m:rP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nor/>
              </m:rPr>
              <w:rPr>
                <w:rFonts w:ascii="Cambria Math" w:hAnsi="Cambria Math"/>
              </w:rPr>
              <m:t>2</m:t>
            </m:r>
          </m:den>
        </m:f>
        <m:r>
          <m:rPr>
            <m:nor/>
          </m:rPr>
          <w:rPr>
            <w:rFonts w:ascii="Cambria Math" w:hAnsi="Cambria Math"/>
          </w:rPr>
          <m:t>∙c(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OH</m:t>
            </m:r>
          </m:e>
          <m:sup>
            <m:r>
              <m:rPr>
                <m:nor/>
              </m:rPr>
              <w:rPr>
                <w:rFonts w:ascii="Cambria Math" w:hAnsi="Cambria Math"/>
              </w:rPr>
              <m:t>-</m:t>
            </m:r>
          </m:sup>
        </m:sSup>
        <m:r>
          <m:rPr>
            <m:nor/>
          </m:rPr>
          <w:rPr>
            <w:rFonts w:ascii="Cambria Math" w:hAnsi="Cambria Math"/>
          </w:rPr>
          <m:t>)</m:t>
        </m:r>
      </m:oMath>
      <w:r w:rsidR="007C24E1">
        <w:rPr>
          <w:rFonts w:eastAsiaTheme="minorEastAsia"/>
        </w:rPr>
        <w:t>. Dies muss bei der Berechnung der Konzentration der Calcium-Ionen berücksichtigt werden:</w:t>
      </w:r>
    </w:p>
    <w:p w:rsidR="007C24E1" w:rsidRPr="005F1E43" w:rsidRDefault="00BD5E96" w:rsidP="007C24E1">
      <w:pPr>
        <w:tabs>
          <w:tab w:val="left" w:pos="1701"/>
          <w:tab w:val="left" w:pos="1985"/>
        </w:tabs>
        <w:ind w:left="1980" w:hanging="1980"/>
        <w:jc w:val="center"/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c(Ca</m:t>
              </m:r>
            </m:e>
            <m:sup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2+</m:t>
              </m:r>
            </m:sup>
          </m:sSup>
          <m:r>
            <m:rPr>
              <m:nor/>
            </m:rPr>
            <w:rPr>
              <w:rFonts w:ascii="Cambria Math" w:eastAsiaTheme="minorEastAsia" w:hAnsi="Cambria Math"/>
              <w:lang w:val="en-US"/>
            </w:rPr>
            <m:t xml:space="preserve">)=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m:rPr>
              <m:nor/>
            </m:rPr>
            <w:rPr>
              <w:rFonts w:ascii="Cambria Math" w:eastAsiaTheme="minorEastAsia" w:hAnsi="Cambria Math"/>
              <w:lang w:val="en-US"/>
            </w:rPr>
            <m:t xml:space="preserve"> ∙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(OH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)</m:t>
              </m:r>
            </m:e>
            <m:sub>
              <m:r>
                <w:rPr>
                  <w:rFonts w:ascii="Cambria Math" w:hAnsi="Cambria Math"/>
                  <w:lang w:val="en-US"/>
                </w:rPr>
                <m:t>C</m:t>
              </m:r>
              <m:r>
                <w:rPr>
                  <w:rFonts w:ascii="Cambria Math" w:eastAsiaTheme="minorEastAsia" w:hAnsi="Cambria Math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OH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sub>
          </m:sSub>
        </m:oMath>
      </m:oMathPara>
    </w:p>
    <w:p w:rsidR="007C24E1" w:rsidRPr="005F1E43" w:rsidRDefault="00BD5E96" w:rsidP="007C24E1">
      <w:pPr>
        <w:tabs>
          <w:tab w:val="left" w:pos="1701"/>
          <w:tab w:val="left" w:pos="1985"/>
        </w:tabs>
        <w:ind w:left="1980" w:hanging="1980"/>
        <w:jc w:val="center"/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c(Ca</m:t>
              </m:r>
            </m:e>
            <m:sup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2+</m:t>
              </m:r>
            </m:sup>
          </m:sSup>
          <m:r>
            <m:rPr>
              <m:nor/>
            </m:rPr>
            <w:rPr>
              <w:rFonts w:ascii="Cambria Math" w:eastAsiaTheme="minorEastAsia" w:hAnsi="Cambria Math"/>
              <w:lang w:val="en-US"/>
            </w:rPr>
            <m:t xml:space="preserve">)=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m:rPr>
              <m:nor/>
            </m:rPr>
            <w:rPr>
              <w:rFonts w:ascii="Cambria Math" w:eastAsiaTheme="minorEastAsia" w:hAnsi="Cambria Math"/>
              <w:lang w:val="en-US"/>
            </w:rPr>
            <m:t xml:space="preserve"> ∙ </m:t>
          </m:r>
          <m:r>
            <m:rPr>
              <m:nor/>
            </m:rPr>
            <w:rPr>
              <w:rFonts w:ascii="Cambria Math"/>
              <w:lang w:val="en-US"/>
            </w:rPr>
            <m:t>0,</m:t>
          </m:r>
          <m:r>
            <m:rPr>
              <m:nor/>
            </m:rPr>
            <w:rPr>
              <w:rFonts w:ascii="Cambria Math"/>
              <w:lang w:val="en-US"/>
            </w:rPr>
            <m:t>0</m:t>
          </m:r>
          <m:r>
            <m:rPr>
              <m:nor/>
            </m:rPr>
            <w:rPr>
              <w:rFonts w:ascii="Cambria Math"/>
              <w:lang w:val="en-US"/>
            </w:rPr>
            <m:t xml:space="preserve">1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w:proofErr w:type="spellStart"/>
              <m:r>
                <m:rPr>
                  <m:nor/>
                </m:rPr>
                <w:rPr>
                  <w:rFonts w:ascii="Cambria Math"/>
                  <w:lang w:val="en-US"/>
                </w:rPr>
                <m:t>mol</m:t>
              </m:r>
              <w:proofErr w:type="spellEnd"/>
            </m:num>
            <m:den>
              <m:r>
                <m:rPr>
                  <m:nor/>
                </m:rPr>
                <w:rPr>
                  <w:rFonts w:ascii="Cambria Math"/>
                  <w:lang w:val="en-US"/>
                </w:rPr>
                <m:t>L</m:t>
              </m:r>
            </m:den>
          </m:f>
          <m:r>
            <m:rPr>
              <m:nor/>
            </m:rPr>
            <w:rPr>
              <w:rFonts w:ascii="Cambria Math" w:eastAsiaTheme="minorEastAsia" w:hAnsi="Cambria Math"/>
              <w:lang w:val="en-US"/>
            </w:rPr>
            <m:t xml:space="preserve"> = 0,</m:t>
          </m:r>
          <m:r>
            <m:rPr>
              <m:nor/>
            </m:rPr>
            <w:rPr>
              <w:rFonts w:ascii="Cambria Math" w:eastAsiaTheme="minorEastAsia" w:hAnsi="Cambria Math"/>
              <w:lang w:val="en-US"/>
            </w:rPr>
            <m:t>0</m:t>
          </m:r>
          <m:r>
            <m:rPr>
              <m:nor/>
            </m:rPr>
            <w:rPr>
              <w:rFonts w:ascii="Cambria Math" w:eastAsiaTheme="minorEastAsia" w:hAnsi="Cambria Math"/>
              <w:lang w:val="en-US"/>
            </w:rPr>
            <m:t xml:space="preserve">05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w:proofErr w:type="spellStart"/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mol</m:t>
              </m:r>
              <w:proofErr w:type="spellEnd"/>
            </m:num>
            <m:den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L</m:t>
              </m:r>
            </m:den>
          </m:f>
        </m:oMath>
      </m:oMathPara>
    </w:p>
    <w:p w:rsidR="007C24E1" w:rsidRDefault="007C24E1" w:rsidP="007C24E1">
      <w:pPr>
        <w:tabs>
          <w:tab w:val="left" w:pos="1701"/>
          <w:tab w:val="left" w:pos="1985"/>
        </w:tabs>
        <w:ind w:left="1980" w:hanging="1980"/>
      </w:pPr>
      <w:r w:rsidRPr="005F1E43">
        <w:rPr>
          <w:lang w:val="en-US"/>
        </w:rPr>
        <w:tab/>
      </w:r>
      <w:r w:rsidRPr="005F1E43">
        <w:rPr>
          <w:lang w:val="en-US"/>
        </w:rPr>
        <w:tab/>
      </w:r>
      <w:r>
        <w:t xml:space="preserve">Für das Löslichkeitsprodukt ergibt sich demnach: </w:t>
      </w:r>
    </w:p>
    <w:p w:rsidR="007C24E1" w:rsidRPr="00F0225D" w:rsidRDefault="00BD5E96" w:rsidP="007C24E1">
      <w:pPr>
        <w:tabs>
          <w:tab w:val="left" w:pos="1701"/>
          <w:tab w:val="left" w:pos="1985"/>
        </w:tabs>
        <w:ind w:left="1980" w:hanging="1980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K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L</m:t>
              </m:r>
            </m:sub>
          </m:sSub>
          <m:r>
            <m:rPr>
              <m:nor/>
            </m:rPr>
            <w:rPr>
              <w:rFonts w:ascii="Cambria Math" w:eastAsiaTheme="minorEastAsia" w:hAnsi="Cambria Math"/>
              <w:lang w:val="en-US"/>
            </w:rPr>
            <m:t>(</m:t>
          </m:r>
          <m:r>
            <m:rPr>
              <m:nor/>
            </m:rPr>
            <w:rPr>
              <w:rFonts w:ascii="Cambria Math" w:hAnsi="Cambria Math"/>
              <w:lang w:val="en-US"/>
            </w:rPr>
            <m:t>Ca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OH)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d>
          <m:r>
            <m:rPr>
              <m:nor/>
            </m:rPr>
            <w:rPr>
              <w:rFonts w:ascii="Cambria Math" w:hAnsi="Cambria Math"/>
              <w:lang w:val="en-US"/>
            </w:rPr>
            <m:t xml:space="preserve">=c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Ca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2+</m:t>
                  </m:r>
                </m:sup>
              </m:sSup>
            </m:e>
          </m:d>
          <m:r>
            <m:rPr>
              <m:nor/>
            </m:rP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c</m:t>
              </m:r>
            </m:e>
            <m:sup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nor/>
            </m:rPr>
            <w:rPr>
              <w:rFonts w:ascii="Cambria Math" w:hAnsi="Cambria Math"/>
              <w:lang w:val="en-US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OH</m:t>
              </m:r>
            </m:e>
            <m:sup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-</m:t>
              </m:r>
            </m:sup>
          </m:sSup>
          <m:r>
            <m:rPr>
              <m:nor/>
            </m:rPr>
            <w:rPr>
              <w:rFonts w:ascii="Cambria Math" w:hAnsi="Cambria Math"/>
              <w:lang w:val="en-US"/>
            </w:rPr>
            <m:t>)</m:t>
          </m:r>
        </m:oMath>
      </m:oMathPara>
    </w:p>
    <w:p w:rsidR="00F0225D" w:rsidRDefault="00F0225D" w:rsidP="007C24E1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Für die Berechnung des Löslichkeitsproduktes muss beachtet werden, dass Letzteres immer vom verwendeten Lösemittel abhängt. Dadurch, in diesem Versuch in Natronlauge verwendet wurde, liegen dort bereits Hydroxid-Ionen vor, welche natürlich beeinflussen, wieviel Calciumhydroxid sich darüber hinaus noch maximal lösen lassen.</w:t>
      </w:r>
      <w:r>
        <w:t xml:space="preserve"> </w:t>
      </w:r>
      <w:r>
        <w:t>Daher ergibt sich folgendes Löslichkeitsprodukt für die Löslichkeit von Calciumhydroxid in 0,1 molarer Natronlauge:</w:t>
      </w:r>
    </w:p>
    <w:p w:rsidR="007C24E1" w:rsidRPr="00F0225D" w:rsidRDefault="00F0225D" w:rsidP="007C24E1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Ca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OH)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m:rPr>
              <m:nor/>
            </m:rPr>
            <w:rPr>
              <w:rFonts w:ascii="Cambria Math" w:hAnsi="Cambria Math"/>
              <w:lang w:val="en-US"/>
            </w:rPr>
            <m:t>=</m:t>
          </m:r>
          <m:r>
            <m:rPr>
              <m:nor/>
            </m:rPr>
            <w:rPr>
              <w:rFonts w:ascii="Cambria Math" w:hAnsi="Cambria Math"/>
              <w:lang w:val="en-US"/>
            </w:rPr>
            <m:t xml:space="preserve"> 0,005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w:proofErr w:type="spellStart"/>
              <m:r>
                <m:rPr>
                  <m:nor/>
                </m:rPr>
                <w:rPr>
                  <w:rFonts w:ascii="Cambria Math"/>
                  <w:lang w:val="en-US"/>
                </w:rPr>
                <m:t>mol</m:t>
              </m:r>
              <w:proofErr w:type="spellEnd"/>
            </m:num>
            <m:den>
              <m:r>
                <m:rPr>
                  <m:nor/>
                </m:rPr>
                <w:rPr>
                  <w:rFonts w:ascii="Cambria Math"/>
                  <w:lang w:val="en-US"/>
                </w:rPr>
                <m:t>L</m:t>
              </m:r>
            </m:den>
          </m:f>
          <m:r>
            <m:rPr>
              <m:nor/>
            </m:rPr>
            <w:rPr>
              <w:rFonts w:ascii="Cambria Math" w:hAnsi="Cambria Math"/>
              <w:lang w:val="en-US"/>
            </w:rPr>
            <m:t xml:space="preserve"> </m:t>
          </m:r>
          <m:r>
            <m:rPr>
              <m:nor/>
            </m:rPr>
            <w:rPr>
              <w:rFonts w:ascii="Cambria Math" w:hAnsi="Cambria Math"/>
              <w:lang w:val="en-US"/>
            </w:rPr>
            <m:t xml:space="preserve">∙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 xml:space="preserve">0,01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mol</m:t>
                  </m:r>
                </m:num>
                <m:den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L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 xml:space="preserve"> )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5</m:t>
          </m:r>
          <m:r>
            <w:rPr>
              <w:rFonts w:ascii="Cambria Math" w:eastAsiaTheme="minorEastAsia" w:hAnsi="Cambria Math"/>
            </w:rPr>
            <m:t xml:space="preserve"> </m:t>
          </m:r>
          <m:r>
            <m:rPr>
              <m:nor/>
            </m:rPr>
            <w:rPr>
              <w:rFonts w:ascii="Cambria Math" w:hAnsi="Cambria Math"/>
              <w:lang w:val="en-US"/>
            </w:rPr>
            <m:t xml:space="preserve">∙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7</m:t>
              </m:r>
            </m:sup>
          </m:sSup>
          <m:r>
            <w:rPr>
              <w:rFonts w:ascii="Cambria Math" w:eastAsiaTheme="minorEastAsia" w:hAnsi="Cambria Math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mol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</m:oMath>
      </m:oMathPara>
    </w:p>
    <w:p w:rsidR="00F0225D" w:rsidRPr="005F1E43" w:rsidRDefault="00F0225D" w:rsidP="007C24E1">
      <w:pPr>
        <w:tabs>
          <w:tab w:val="left" w:pos="1701"/>
          <w:tab w:val="left" w:pos="1985"/>
        </w:tabs>
        <w:ind w:left="1980" w:hanging="1980"/>
        <w:rPr>
          <w:rFonts w:eastAsiaTheme="minorEastAsia"/>
          <w:lang w:val="en-US"/>
        </w:rPr>
      </w:pPr>
      <w:r>
        <w:tab/>
      </w:r>
      <w:r>
        <w:tab/>
        <w:t xml:space="preserve">… sowie folgendes </w:t>
      </w:r>
      <w:r>
        <w:t>Lösl</w:t>
      </w:r>
      <w:r>
        <w:t>ichkeitsprodukt von Calciumhydroxid in Wasser (hier werden die bereits vorhandenen Hydroxid-Ionen mit in die Gleichung aufgenommen):</w:t>
      </w:r>
    </w:p>
    <w:p w:rsidR="00FC6458" w:rsidRPr="005F1E43" w:rsidRDefault="00F0225D" w:rsidP="00FC6458">
      <w:pPr>
        <w:tabs>
          <w:tab w:val="left" w:pos="1701"/>
          <w:tab w:val="left" w:pos="1985"/>
        </w:tabs>
        <w:ind w:left="1980" w:hanging="1980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Ca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OH)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nor/>
            </m:rPr>
            <w:rPr>
              <w:rFonts w:ascii="Cambria Math" w:hAnsi="Cambria Math"/>
              <w:lang w:val="en-US"/>
            </w:rPr>
            <m:t xml:space="preserve">= 0,005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w:proofErr w:type="spellStart"/>
              <m:r>
                <m:rPr>
                  <m:nor/>
                </m:rPr>
                <w:rPr>
                  <w:rFonts w:ascii="Cambria Math"/>
                  <w:lang w:val="en-US"/>
                </w:rPr>
                <m:t>mol</m:t>
              </m:r>
              <w:proofErr w:type="spellEnd"/>
            </m:num>
            <m:den>
              <m:r>
                <m:rPr>
                  <m:nor/>
                </m:rPr>
                <w:rPr>
                  <w:rFonts w:ascii="Cambria Math"/>
                  <w:lang w:val="en-US"/>
                </w:rPr>
                <m:t>L</m:t>
              </m:r>
            </m:den>
          </m:f>
          <m:r>
            <m:rPr>
              <m:nor/>
            </m:rPr>
            <w:rPr>
              <w:rFonts w:ascii="Cambria Math" w:hAnsi="Cambria Math"/>
              <w:lang w:val="en-US"/>
            </w:rPr>
            <m:t xml:space="preserve"> ∙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(0,</m:t>
              </m:r>
              <m:r>
                <w:rPr>
                  <w:rFonts w:ascii="Cambria Math" w:hAnsi="Cambria Math"/>
                  <w:lang w:val="en-US"/>
                </w:rPr>
                <m:t>1</m:t>
              </m:r>
              <m:r>
                <w:rPr>
                  <w:rFonts w:ascii="Cambria Math" w:hAnsi="Cambria Math"/>
                  <w:lang w:val="en-US"/>
                </w:rPr>
                <m:t xml:space="preserve">1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mol</m:t>
                  </m:r>
                </m:num>
                <m:den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L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 xml:space="preserve"> )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=6,</m:t>
          </m:r>
          <m:r>
            <w:rPr>
              <w:rFonts w:ascii="Cambria Math" w:eastAsiaTheme="minorEastAsia" w:hAnsi="Cambria Math"/>
            </w:rPr>
            <m:t>05</m:t>
          </m:r>
          <m:r>
            <w:rPr>
              <w:rFonts w:ascii="Cambria Math" w:eastAsiaTheme="minorEastAsia" w:hAnsi="Cambria Math"/>
            </w:rPr>
            <m:t xml:space="preserve"> </m:t>
          </m:r>
          <m:r>
            <m:rPr>
              <m:nor/>
            </m:rPr>
            <w:rPr>
              <w:rFonts w:ascii="Cambria Math" w:hAnsi="Cambria Math"/>
              <w:lang w:val="en-US"/>
            </w:rPr>
            <m:t>∙</m:t>
          </m:r>
          <m:r>
            <m:rPr>
              <m:nor/>
            </m:rPr>
            <w:rPr>
              <w:rFonts w:ascii="Cambria Math" w:hAnsi="Cambria Math"/>
              <w:lang w:val="en-US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-5</m:t>
              </m:r>
            </m:sup>
          </m:sSup>
          <m:r>
            <w:rPr>
              <w:rFonts w:ascii="Cambria Math" w:eastAsiaTheme="minorEastAsia" w:hAnsi="Cambria Math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mol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</m:oMath>
      </m:oMathPara>
    </w:p>
    <w:p w:rsidR="00F0225D" w:rsidRDefault="007C24E1" w:rsidP="007C24E1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</w:r>
      <w:r w:rsidR="00F0225D">
        <w:t>In beiden Fällen löst sich natürlich die exakt gleiche Menge Calciumhydroxid; die unterschiedlichen Werte ergeben sich nur aus dem Betrachtungswinkel</w:t>
      </w:r>
      <w:r w:rsidR="008904B6">
        <w:t xml:space="preserve"> bzw. daraus, dass unterschiedliche Vorbedingungen hinsichtlich des Lösemittels angenommen werden. Entsprechend kleiner ist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L1</m:t>
            </m:r>
          </m:sub>
        </m:sSub>
      </m:oMath>
      <w:r w:rsidR="008904B6">
        <w:rPr>
          <w:rFonts w:eastAsiaTheme="minorEastAsia"/>
        </w:rPr>
        <w:t xml:space="preserve"> auch im Vergleich zu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L2</m:t>
            </m:r>
          </m:sub>
        </m:sSub>
      </m:oMath>
      <w:r w:rsidR="008904B6">
        <w:rPr>
          <w:rFonts w:eastAsiaTheme="minorEastAsia"/>
        </w:rPr>
        <w:t xml:space="preserve">. </w:t>
      </w:r>
    </w:p>
    <w:p w:rsidR="007C24E1" w:rsidRPr="004A1E03" w:rsidRDefault="00F0225D" w:rsidP="007C24E1">
      <w:pPr>
        <w:tabs>
          <w:tab w:val="left" w:pos="1701"/>
          <w:tab w:val="left" w:pos="1985"/>
        </w:tabs>
        <w:ind w:left="1980" w:hanging="1980"/>
        <w:rPr>
          <w:rFonts w:eastAsiaTheme="minorEastAsia"/>
          <w:i/>
        </w:rPr>
      </w:pPr>
      <w:r>
        <w:tab/>
      </w:r>
      <w:r>
        <w:tab/>
      </w:r>
      <w:r w:rsidR="007C24E1">
        <w:t xml:space="preserve">Bei einem Vergleich </w:t>
      </w:r>
      <w:r w:rsidR="008904B6">
        <w:t xml:space="preserve">von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L2</m:t>
            </m:r>
          </m:sub>
        </m:sSub>
      </m:oMath>
      <w:r w:rsidR="008904B6">
        <w:rPr>
          <w:rFonts w:eastAsiaTheme="minorEastAsia"/>
        </w:rPr>
        <w:t xml:space="preserve"> </w:t>
      </w:r>
      <w:r w:rsidR="007C24E1">
        <w:t xml:space="preserve">mit dem Literaturwert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>(</m:t>
        </m:r>
        <m:r>
          <w:rPr>
            <w:rFonts w:ascii="Cambria Math" w:hAnsi="Cambria Math"/>
          </w:rPr>
          <m:t>Ca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OH)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 xml:space="preserve">= </m:t>
        </m:r>
        <m:r>
          <w:rPr>
            <w:rFonts w:ascii="Cambria Math" w:eastAsiaTheme="minorEastAsia" w:hAnsi="Cambria Math"/>
          </w:rPr>
          <m:t>5,02</m:t>
        </m:r>
        <m:r>
          <w:rPr>
            <w:rFonts w:ascii="Cambria Math" w:eastAsiaTheme="minorEastAsia" w:hAnsi="Cambria Math"/>
          </w:rPr>
          <m:t xml:space="preserve"> ∙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-6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mol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  <w:r w:rsidR="007C24E1">
        <w:rPr>
          <w:rFonts w:eastAsiaTheme="minorEastAsia"/>
        </w:rPr>
        <w:t xml:space="preserve"> fällt auf, dass </w:t>
      </w:r>
      <w:r w:rsidR="00080B18">
        <w:rPr>
          <w:rFonts w:eastAsiaTheme="minorEastAsia"/>
        </w:rPr>
        <w:t xml:space="preserve">eine </w:t>
      </w:r>
      <w:r w:rsidR="007C24E1">
        <w:rPr>
          <w:rFonts w:eastAsiaTheme="minorEastAsia"/>
        </w:rPr>
        <w:t xml:space="preserve">Abweichung </w:t>
      </w:r>
      <w:r w:rsidR="00080B18">
        <w:rPr>
          <w:rFonts w:eastAsiaTheme="minorEastAsia"/>
        </w:rPr>
        <w:t>von</w:t>
      </w:r>
      <w:r w:rsidR="008904B6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1,03</m:t>
        </m:r>
        <m:r>
          <w:rPr>
            <w:rFonts w:ascii="Cambria Math" w:eastAsiaTheme="minorEastAsia" w:hAnsi="Cambria Math"/>
          </w:rPr>
          <m:t xml:space="preserve"> ∙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-6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mol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  <w:r w:rsidR="00080B18">
        <w:rPr>
          <w:rFonts w:eastAsiaTheme="minorEastAsia"/>
        </w:rPr>
        <w:t xml:space="preserve"> </w:t>
      </w:r>
      <w:r w:rsidR="00080B18">
        <w:rPr>
          <w:rFonts w:eastAsiaTheme="minorEastAsia"/>
        </w:rPr>
        <w:t>(</w:t>
      </w:r>
      <w:r w:rsidR="008904B6">
        <w:rPr>
          <w:rFonts w:eastAsiaTheme="minorEastAsia"/>
        </w:rPr>
        <w:t xml:space="preserve">20,5 </w:t>
      </w:r>
      <w:r w:rsidR="00080B18">
        <w:rPr>
          <w:rFonts w:eastAsiaTheme="minorEastAsia"/>
        </w:rPr>
        <w:t xml:space="preserve">%) </w:t>
      </w:r>
      <w:r w:rsidR="007C24E1">
        <w:rPr>
          <w:rFonts w:eastAsiaTheme="minorEastAsia"/>
        </w:rPr>
        <w:t xml:space="preserve">zwischen dem experimentell ermittelten und dem in der Literatur angegebenen Wert vorhanden ist. </w:t>
      </w:r>
      <w:r w:rsidR="008904B6">
        <w:rPr>
          <w:rFonts w:eastAsiaTheme="minorEastAsia"/>
        </w:rPr>
        <w:t xml:space="preserve">Dieser leicht zu große Wert lässt sich durch kleine Ungenauigkeiten erklären und auch darüber, dass eventuell noch </w:t>
      </w:r>
      <w:r w:rsidR="00670036">
        <w:rPr>
          <w:rFonts w:eastAsiaTheme="minorEastAsia"/>
        </w:rPr>
        <w:t>sehr kleine</w:t>
      </w:r>
      <w:r w:rsidR="008904B6">
        <w:rPr>
          <w:rFonts w:eastAsiaTheme="minorEastAsia"/>
        </w:rPr>
        <w:t xml:space="preserve"> Mengen festes Calciumhydroxid in der Lösung vorhanden waren.</w:t>
      </w:r>
    </w:p>
    <w:p w:rsidR="007C24E1" w:rsidRPr="007932FD" w:rsidRDefault="007C24E1" w:rsidP="007C24E1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>Entsorgung:</w:t>
      </w:r>
      <w:r>
        <w:tab/>
      </w:r>
      <w:r>
        <w:tab/>
        <w:t xml:space="preserve">Mit viel Wasser verdünnen und im Abfluss entsorgen. </w:t>
      </w:r>
    </w:p>
    <w:p w:rsidR="007C24E1" w:rsidRDefault="007C24E1" w:rsidP="007C24E1">
      <w:pPr>
        <w:tabs>
          <w:tab w:val="left" w:pos="1985"/>
        </w:tabs>
        <w:spacing w:line="276" w:lineRule="auto"/>
        <w:jc w:val="left"/>
      </w:pPr>
      <w:r>
        <w:t>Literatur:</w:t>
      </w:r>
      <w:r>
        <w:tab/>
        <w:t>nach N.N,</w:t>
      </w:r>
      <w:r w:rsidRPr="00720FFC">
        <w:t xml:space="preserve"> </w:t>
      </w:r>
      <w:r w:rsidRPr="00E71EB7">
        <w:t>http://www.uni-muenster.de/imperia/md/content/didaktik_</w:t>
      </w:r>
      <w:r>
        <w:t xml:space="preserve"> </w:t>
      </w:r>
      <w:r>
        <w:tab/>
      </w:r>
      <w:proofErr w:type="spellStart"/>
      <w:r w:rsidRPr="00E71EB7">
        <w:t>der_chemie</w:t>
      </w:r>
      <w:proofErr w:type="spellEnd"/>
      <w:r w:rsidRPr="00E71EB7">
        <w:t>/</w:t>
      </w:r>
      <w:proofErr w:type="spellStart"/>
      <w:r w:rsidRPr="00E71EB7">
        <w:t>acpraktikum</w:t>
      </w:r>
      <w:proofErr w:type="spellEnd"/>
      <w:r w:rsidRPr="00E71EB7">
        <w:t>/praktikumsvorschriften_kapitel_7.pdf</w:t>
      </w:r>
      <w:r>
        <w:t xml:space="preserve"> </w:t>
      </w:r>
      <w:r>
        <w:tab/>
      </w:r>
      <w:r>
        <w:tab/>
        <w:t>(zuletzt aufgerufen am 21.08.2014 um 23:32 Uhr)</w:t>
      </w:r>
    </w:p>
    <w:p w:rsidR="00F50AF2" w:rsidRDefault="00F0225D" w:rsidP="00F50AF2">
      <w:pPr>
        <w:tabs>
          <w:tab w:val="left" w:pos="1985"/>
        </w:tabs>
        <w:spacing w:line="276" w:lineRule="auto"/>
        <w:ind w:left="1985"/>
        <w:jc w:val="left"/>
      </w:pPr>
      <w:r w:rsidRPr="00F0225D">
        <w:t xml:space="preserve">Handbook </w:t>
      </w:r>
      <w:proofErr w:type="spellStart"/>
      <w:r w:rsidRPr="00F0225D">
        <w:t>of</w:t>
      </w:r>
      <w:proofErr w:type="spellEnd"/>
      <w:r w:rsidRPr="00F0225D">
        <w:t xml:space="preserve"> Chemistry </w:t>
      </w:r>
      <w:proofErr w:type="spellStart"/>
      <w:r w:rsidRPr="00F0225D">
        <w:t>and</w:t>
      </w:r>
      <w:proofErr w:type="spellEnd"/>
      <w:r w:rsidRPr="00F0225D">
        <w:t xml:space="preserve"> </w:t>
      </w:r>
      <w:proofErr w:type="spellStart"/>
      <w:r w:rsidRPr="00F0225D">
        <w:t>Physics</w:t>
      </w:r>
      <w:proofErr w:type="spellEnd"/>
      <w:r w:rsidRPr="00F0225D">
        <w:t>.</w:t>
      </w:r>
      <w:r>
        <w:t xml:space="preserve"> CRC Press. New York, 2008-2009</w:t>
      </w:r>
    </w:p>
    <w:p w:rsidR="007C24E1" w:rsidRPr="006E32AF" w:rsidRDefault="007C24E1" w:rsidP="007C24E1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873115" cy="1586865"/>
                <wp:effectExtent l="13970" t="13970" r="8890" b="8890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5868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C24E1" w:rsidRPr="005F1E43" w:rsidRDefault="007C24E1" w:rsidP="007C24E1">
                            <w:pPr>
                              <w:rPr>
                                <w:color w:val="auto"/>
                              </w:rPr>
                            </w:pPr>
                            <w:r w:rsidRPr="005F1E43">
                              <w:rPr>
                                <w:color w:val="auto"/>
                              </w:rPr>
                              <w:t xml:space="preserve">Der Versuch „Bestimmung des Löslichkeitsprodukts von Calciumhydroxid durch Neutralisationstitration mit Salzsäure “ kann nach dem Versuch V 3 „Löslichkeitsprodukt von Calciumhydroxid, Magnesiumhydroxid und Bariumhydroxid durch pH-Wert-Messung“ als Lehrerdemonstrationsversuch vorgeführt werden, da die Berechnung des Löslichkeitsproduktes mit dieser Methode anspruchsvoller ist als in V 3 und die Grundlage aus V 3 von den </w:t>
                            </w:r>
                            <w:proofErr w:type="spellStart"/>
                            <w:r w:rsidRPr="005F1E43">
                              <w:rPr>
                                <w:color w:val="auto"/>
                              </w:rPr>
                              <w:t>SuS</w:t>
                            </w:r>
                            <w:proofErr w:type="spellEnd"/>
                            <w:r w:rsidRPr="005F1E43">
                              <w:rPr>
                                <w:color w:val="auto"/>
                              </w:rPr>
                              <w:t xml:space="preserve"> bereits verstanden sein sollte.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3" o:spid="_x0000_s1027" type="#_x0000_t202" style="width:462.45pt;height:1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" fillcolor="white [3201]" strokecolor="#c0504d [3205]" strokeweight="1pt">
                <v:stroke dashstyle="dash"/>
                <v:shadow color="#868686"/>
                <v:textbox>
                  <w:txbxContent>
                    <w:p w:rsidR="007C24E1" w:rsidRPr="005F1E43" w:rsidRDefault="007C24E1" w:rsidP="007C24E1">
                      <w:pPr>
                        <w:rPr>
                          <w:color w:val="auto"/>
                        </w:rPr>
                      </w:pPr>
                      <w:r w:rsidRPr="005F1E43">
                        <w:rPr>
                          <w:color w:val="auto"/>
                        </w:rPr>
                        <w:t xml:space="preserve">Der Versuch „Bestimmung des Löslichkeitsprodukts von Calciumhydroxid durch Neutralisationstitration mit Salzsäure “ kann nach dem Versuch V 3 „Löslichkeitsprodukt von Calciumhydroxid, Magnesiumhydroxid und Bariumhydroxid durch pH-Wert-Messung“ als Lehrerdemonstrationsversuch vorgeführt werden, da die Berechnung des Löslichkeitsproduktes mit dieser Methode anspruchsvoller ist als in V 3 und die Grundlage aus V 3 von den </w:t>
                      </w:r>
                      <w:proofErr w:type="spellStart"/>
                      <w:r w:rsidRPr="005F1E43">
                        <w:rPr>
                          <w:color w:val="auto"/>
                        </w:rPr>
                        <w:t>SuS</w:t>
                      </w:r>
                      <w:proofErr w:type="spellEnd"/>
                      <w:r w:rsidRPr="005F1E43">
                        <w:rPr>
                          <w:color w:val="auto"/>
                        </w:rPr>
                        <w:t xml:space="preserve"> bereits verstanden sein sollte.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1"/>
    <w:p w:rsidR="00B119A3" w:rsidRDefault="00B119A3"/>
    <w:sectPr w:rsidR="00B11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483"/>
    <w:multiLevelType w:val="multilevel"/>
    <w:tmpl w:val="4CBADC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422180"/>
    <w:multiLevelType w:val="multilevel"/>
    <w:tmpl w:val="9AA8B0C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E1"/>
    <w:rsid w:val="00080B18"/>
    <w:rsid w:val="002133E4"/>
    <w:rsid w:val="003E5E6B"/>
    <w:rsid w:val="00670036"/>
    <w:rsid w:val="007C24E1"/>
    <w:rsid w:val="008904B6"/>
    <w:rsid w:val="00B119A3"/>
    <w:rsid w:val="00BD5E96"/>
    <w:rsid w:val="00C10239"/>
    <w:rsid w:val="00F0225D"/>
    <w:rsid w:val="00F50AF2"/>
    <w:rsid w:val="00FC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6785"/>
  <w15:docId w15:val="{B834DB82-8B65-4C6D-ABED-20F6D93E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24E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C24E1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C24E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C24E1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24E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24E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C24E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C24E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C24E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C24E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4E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C24E1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C24E1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24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24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C24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C24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C24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C24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7C24E1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4E1"/>
    <w:rPr>
      <w:rFonts w:ascii="Tahoma" w:hAnsi="Tahoma" w:cs="Tahoma"/>
      <w:color w:val="1D1B11" w:themeColor="background2" w:themeShade="1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F50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3F73E-478B-45BF-BDB5-C2D475B5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Timm</cp:lastModifiedBy>
  <cp:revision>6</cp:revision>
  <cp:lastPrinted>2016-01-20T12:17:00Z</cp:lastPrinted>
  <dcterms:created xsi:type="dcterms:W3CDTF">2014-08-26T17:33:00Z</dcterms:created>
  <dcterms:modified xsi:type="dcterms:W3CDTF">2016-01-20T12:18:00Z</dcterms:modified>
</cp:coreProperties>
</file>