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444" w:rsidRPr="00A11E8D" w:rsidRDefault="00406444" w:rsidP="00406444">
      <w:pPr>
        <w:pStyle w:val="berschrift1"/>
        <w:numPr>
          <w:ilvl w:val="0"/>
          <w:numId w:val="0"/>
        </w:numPr>
        <w:ind w:left="432" w:hanging="432"/>
      </w:pPr>
      <w:r>
        <w:rPr>
          <w:noProof/>
        </w:rPr>
        <w:pict>
          <v:shapetype id="_x0000_t202" coordsize="21600,21600" o:spt="202" path="m,l,21600r21600,l21600,xe">
            <v:stroke joinstyle="miter"/>
            <v:path gradientshapeok="t" o:connecttype="rect"/>
          </v:shapetype>
          <v:shape id="_x0000_s1061" type="#_x0000_t202" style="position:absolute;left:0;text-align:left;margin-left:-5.05pt;margin-top:67.3pt;width:462.45pt;height:100.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_x0000_s1061">
              <w:txbxContent>
                <w:p w:rsidR="00406444" w:rsidRPr="00B03D8D" w:rsidRDefault="00406444" w:rsidP="00406444">
                  <w:pPr>
                    <w:rPr>
                      <w:color w:val="auto"/>
                    </w:rPr>
                  </w:pPr>
                  <w:r>
                    <w:rPr>
                      <w:color w:val="auto"/>
                    </w:rPr>
                    <w:t xml:space="preserve">In diesem Versuch können </w:t>
                  </w:r>
                  <w:proofErr w:type="spellStart"/>
                  <w:r>
                    <w:rPr>
                      <w:color w:val="auto"/>
                    </w:rPr>
                    <w:t>SuS</w:t>
                  </w:r>
                  <w:proofErr w:type="spellEnd"/>
                  <w:r>
                    <w:rPr>
                      <w:color w:val="auto"/>
                    </w:rPr>
                    <w:t xml:space="preserve"> die Abhängigkeit des chemischen  Gleichgewichts vom Druck sehen. Dafür wird das gleiche Gleichgewicht wie in Versuch 1, Stickstoffdioxid und </w:t>
                  </w:r>
                  <w:proofErr w:type="spellStart"/>
                  <w:r>
                    <w:rPr>
                      <w:color w:val="auto"/>
                    </w:rPr>
                    <w:t>Distickstofftetraoxid</w:t>
                  </w:r>
                  <w:proofErr w:type="spellEnd"/>
                  <w:r>
                    <w:rPr>
                      <w:color w:val="auto"/>
                    </w:rPr>
                    <w:t xml:space="preserve">, auf Grund seiner Anschaulichkeit benutzt. Für diesen Versuch ist kein weiteres Vorwissen als für V 1 notwendig und er muss auch von einer Lehrperson auf Grund der hohen Giftigkeit von Stickstoffdioxid durchgeführt werden.  </w:t>
                  </w:r>
                </w:p>
              </w:txbxContent>
            </v:textbox>
            <w10:wrap type="square"/>
          </v:shape>
        </w:pict>
      </w:r>
      <w:bookmarkStart w:id="0" w:name="_Toc396339258"/>
      <w:r w:rsidRPr="00A11E8D">
        <w:t>V</w:t>
      </w:r>
      <w:r>
        <w:t xml:space="preserve"> </w:t>
      </w:r>
      <w:r w:rsidRPr="00A11E8D">
        <w:t xml:space="preserve">2 </w:t>
      </w:r>
      <w:r>
        <w:t>–</w:t>
      </w:r>
      <w:r w:rsidRPr="00A11E8D">
        <w:t xml:space="preserve"> </w:t>
      </w:r>
      <w:r>
        <w:t>Abhängigkeit des Gleichgewichts vom Druck</w:t>
      </w:r>
      <w:bookmarkEnd w:id="0"/>
      <w:r>
        <w:t xml:space="preserve">  </w:t>
      </w:r>
    </w:p>
    <w:p w:rsidR="00406444" w:rsidRDefault="00406444" w:rsidP="00406444">
      <w:pPr>
        <w:pStyle w:val="berschrift2"/>
        <w:numPr>
          <w:ilvl w:val="0"/>
          <w:numId w:val="0"/>
        </w:numPr>
        <w:ind w:left="576"/>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06444" w:rsidRPr="00CD03BD" w:rsidTr="00C33915">
        <w:tc>
          <w:tcPr>
            <w:tcW w:w="9322" w:type="dxa"/>
            <w:gridSpan w:val="9"/>
            <w:tcBorders>
              <w:top w:val="single" w:sz="8" w:space="0" w:color="4F81BD"/>
            </w:tcBorders>
            <w:shd w:val="clear" w:color="auto" w:fill="4F81BD"/>
            <w:vAlign w:val="center"/>
          </w:tcPr>
          <w:p w:rsidR="00406444" w:rsidRPr="00CD03BD" w:rsidRDefault="00406444" w:rsidP="00C33915">
            <w:pPr>
              <w:spacing w:after="0"/>
              <w:jc w:val="center"/>
              <w:rPr>
                <w:b/>
                <w:bCs/>
              </w:rPr>
            </w:pPr>
            <w:r w:rsidRPr="00CD03BD">
              <w:rPr>
                <w:b/>
                <w:bCs/>
              </w:rPr>
              <w:t>Gefahrenstoffe</w:t>
            </w:r>
          </w:p>
        </w:tc>
      </w:tr>
      <w:tr w:rsidR="00406444"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06444" w:rsidRPr="00CD03BD" w:rsidRDefault="00406444" w:rsidP="00C33915">
            <w:pPr>
              <w:spacing w:after="0" w:line="276" w:lineRule="auto"/>
              <w:jc w:val="center"/>
              <w:rPr>
                <w:b/>
                <w:bCs/>
              </w:rPr>
            </w:pPr>
            <w:r>
              <w:rPr>
                <w:sz w:val="20"/>
              </w:rPr>
              <w:t>Konzentrierte Salpetersäure</w:t>
            </w:r>
          </w:p>
        </w:tc>
        <w:tc>
          <w:tcPr>
            <w:tcW w:w="3177" w:type="dxa"/>
            <w:gridSpan w:val="3"/>
            <w:tcBorders>
              <w:top w:val="single" w:sz="8" w:space="0" w:color="4F81BD"/>
              <w:bottom w:val="single" w:sz="8" w:space="0" w:color="4F81BD"/>
            </w:tcBorders>
            <w:shd w:val="clear" w:color="auto" w:fill="auto"/>
            <w:vAlign w:val="center"/>
          </w:tcPr>
          <w:p w:rsidR="00406444" w:rsidRPr="000A6B8A" w:rsidRDefault="00406444" w:rsidP="00C33915">
            <w:pPr>
              <w:spacing w:after="0"/>
              <w:jc w:val="center"/>
              <w:rPr>
                <w:sz w:val="20"/>
                <w:szCs w:val="20"/>
              </w:rPr>
            </w:pPr>
            <w:r>
              <w:rPr>
                <w:sz w:val="20"/>
                <w:szCs w:val="20"/>
              </w:rPr>
              <w:t>H: 272-314-290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06444" w:rsidRPr="000A6B8A" w:rsidRDefault="00406444" w:rsidP="00C33915">
            <w:pPr>
              <w:spacing w:after="0" w:line="240" w:lineRule="auto"/>
              <w:jc w:val="center"/>
              <w:rPr>
                <w:sz w:val="20"/>
                <w:szCs w:val="20"/>
              </w:rPr>
            </w:pPr>
            <w:r>
              <w:rPr>
                <w:sz w:val="20"/>
                <w:szCs w:val="20"/>
              </w:rPr>
              <w:t>P: 260-280-301+330+331-305+351+338-309+310</w:t>
            </w:r>
          </w:p>
        </w:tc>
      </w:tr>
      <w:tr w:rsidR="00406444" w:rsidRPr="00CD03BD" w:rsidTr="00C33915">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06444" w:rsidRDefault="00406444" w:rsidP="00C33915">
            <w:pPr>
              <w:spacing w:after="0" w:line="276" w:lineRule="auto"/>
              <w:jc w:val="center"/>
              <w:rPr>
                <w:sz w:val="20"/>
              </w:rPr>
            </w:pPr>
            <w:r>
              <w:rPr>
                <w:sz w:val="20"/>
              </w:rPr>
              <w:t>Stickstoffdioxid</w:t>
            </w:r>
          </w:p>
        </w:tc>
        <w:tc>
          <w:tcPr>
            <w:tcW w:w="3177" w:type="dxa"/>
            <w:gridSpan w:val="3"/>
            <w:tcBorders>
              <w:top w:val="single" w:sz="8" w:space="0" w:color="4F81BD"/>
              <w:bottom w:val="single" w:sz="8" w:space="0" w:color="4F81BD"/>
            </w:tcBorders>
            <w:shd w:val="clear" w:color="auto" w:fill="auto"/>
            <w:vAlign w:val="center"/>
          </w:tcPr>
          <w:p w:rsidR="00406444" w:rsidRDefault="00406444" w:rsidP="00C33915">
            <w:pPr>
              <w:pStyle w:val="Beschriftung"/>
              <w:spacing w:after="0"/>
              <w:jc w:val="center"/>
              <w:rPr>
                <w:sz w:val="20"/>
              </w:rPr>
            </w:pPr>
            <w:r>
              <w:rPr>
                <w:sz w:val="20"/>
              </w:rPr>
              <w:t>H: 270-330-314</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06444" w:rsidRDefault="00406444" w:rsidP="00C33915">
            <w:pPr>
              <w:pStyle w:val="Beschriftung"/>
              <w:spacing w:after="0"/>
              <w:jc w:val="center"/>
              <w:rPr>
                <w:sz w:val="20"/>
              </w:rPr>
            </w:pPr>
            <w:r>
              <w:rPr>
                <w:sz w:val="20"/>
              </w:rPr>
              <w:t>P: 260-280-284-303+361+353-304+312-305+351+338-309+311-404-405</w:t>
            </w:r>
          </w:p>
        </w:tc>
      </w:tr>
      <w:tr w:rsidR="00406444" w:rsidRPr="00CD03BD" w:rsidTr="00C33915">
        <w:tc>
          <w:tcPr>
            <w:tcW w:w="1009" w:type="dxa"/>
            <w:tcBorders>
              <w:top w:val="single" w:sz="4" w:space="0" w:color="auto"/>
              <w:left w:val="single" w:sz="8" w:space="0" w:color="4F81BD"/>
              <w:bottom w:val="single" w:sz="8" w:space="0" w:color="4F81BD"/>
            </w:tcBorders>
            <w:shd w:val="clear" w:color="auto" w:fill="auto"/>
            <w:vAlign w:val="center"/>
          </w:tcPr>
          <w:p w:rsidR="00406444" w:rsidRPr="00CD03BD" w:rsidRDefault="00406444" w:rsidP="00C33915">
            <w:pPr>
              <w:spacing w:after="0"/>
              <w:jc w:val="center"/>
              <w:rPr>
                <w:b/>
                <w:bCs/>
              </w:rPr>
            </w:pPr>
            <w:r>
              <w:rPr>
                <w:b/>
                <w:noProof/>
                <w:lang w:eastAsia="de-DE"/>
              </w:rPr>
              <w:drawing>
                <wp:inline distT="0" distB="0" distL="0" distR="0">
                  <wp:extent cx="501015" cy="501015"/>
                  <wp:effectExtent l="19050" t="0" r="0" b="0"/>
                  <wp:docPr id="9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7"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009" w:type="dxa"/>
            <w:tcBorders>
              <w:top w:val="single" w:sz="4" w:space="0" w:color="auto"/>
              <w:bottom w:val="single" w:sz="8" w:space="0" w:color="4F81BD"/>
            </w:tcBorders>
            <w:shd w:val="clear" w:color="auto" w:fill="auto"/>
            <w:vAlign w:val="center"/>
          </w:tcPr>
          <w:p w:rsidR="00406444" w:rsidRPr="00CD03BD" w:rsidRDefault="00406444" w:rsidP="00C33915">
            <w:pPr>
              <w:spacing w:after="0"/>
              <w:jc w:val="center"/>
            </w:pPr>
            <w:r>
              <w:rPr>
                <w:noProof/>
                <w:lang w:eastAsia="de-DE"/>
              </w:rPr>
              <w:drawing>
                <wp:inline distT="0" distB="0" distL="0" distR="0">
                  <wp:extent cx="503555" cy="503555"/>
                  <wp:effectExtent l="19050" t="0" r="0" b="0"/>
                  <wp:docPr id="192" name="Grafik 51"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8" cstate="print"/>
                          <a:stretch>
                            <a:fillRect/>
                          </a:stretch>
                        </pic:blipFill>
                        <pic:spPr>
                          <a:xfrm>
                            <a:off x="0" y="0"/>
                            <a:ext cx="503555" cy="503555"/>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406444" w:rsidRPr="00CD03BD" w:rsidRDefault="00406444" w:rsidP="00C33915">
            <w:pPr>
              <w:spacing w:after="0"/>
              <w:jc w:val="center"/>
            </w:pPr>
            <w:r>
              <w:rPr>
                <w:noProof/>
                <w:lang w:eastAsia="de-DE"/>
              </w:rPr>
              <w:drawing>
                <wp:inline distT="0" distB="0" distL="0" distR="0">
                  <wp:extent cx="503555" cy="503555"/>
                  <wp:effectExtent l="19050" t="0" r="0" b="0"/>
                  <wp:docPr id="193" name="Grafik 53" descr="Brennba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 (2).png"/>
                          <pic:cNvPicPr/>
                        </pic:nvPicPr>
                        <pic:blipFill>
                          <a:blip r:embed="rId9" cstate="print"/>
                          <a:stretch>
                            <a:fillRect/>
                          </a:stretch>
                        </pic:blipFill>
                        <pic:spPr>
                          <a:xfrm>
                            <a:off x="0" y="0"/>
                            <a:ext cx="503555" cy="503555"/>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406444" w:rsidRPr="000A6B8A" w:rsidRDefault="00406444" w:rsidP="00C33915">
            <w:pPr>
              <w:spacing w:after="0"/>
              <w:jc w:val="center"/>
              <w:rPr>
                <w:sz w:val="20"/>
                <w:szCs w:val="20"/>
              </w:rPr>
            </w:pPr>
            <w:r w:rsidRPr="000A6B8A">
              <w:rPr>
                <w:noProof/>
                <w:sz w:val="20"/>
                <w:szCs w:val="20"/>
                <w:lang w:eastAsia="de-DE"/>
              </w:rPr>
              <w:drawing>
                <wp:inline distT="0" distB="0" distL="0" distR="0">
                  <wp:extent cx="501015" cy="501015"/>
                  <wp:effectExtent l="19050" t="0" r="0" b="0"/>
                  <wp:docPr id="19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0"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1175" w:type="dxa"/>
            <w:tcBorders>
              <w:top w:val="single" w:sz="4" w:space="0" w:color="auto"/>
              <w:bottom w:val="single" w:sz="8" w:space="0" w:color="4F81BD"/>
            </w:tcBorders>
            <w:shd w:val="clear" w:color="auto" w:fill="auto"/>
            <w:vAlign w:val="center"/>
          </w:tcPr>
          <w:p w:rsidR="00406444" w:rsidRPr="000A6B8A" w:rsidRDefault="00406444" w:rsidP="00C33915">
            <w:pPr>
              <w:spacing w:after="0"/>
              <w:jc w:val="center"/>
              <w:rPr>
                <w:sz w:val="20"/>
                <w:szCs w:val="20"/>
              </w:rPr>
            </w:pPr>
            <w:r w:rsidRPr="000A6B8A">
              <w:rPr>
                <w:noProof/>
                <w:sz w:val="20"/>
                <w:szCs w:val="20"/>
                <w:lang w:eastAsia="de-DE"/>
              </w:rPr>
              <w:drawing>
                <wp:inline distT="0" distB="0" distL="0" distR="0">
                  <wp:extent cx="501015" cy="501015"/>
                  <wp:effectExtent l="19050" t="0" r="0" b="0"/>
                  <wp:docPr id="19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1"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93" w:type="dxa"/>
            <w:tcBorders>
              <w:top w:val="single" w:sz="4" w:space="0" w:color="auto"/>
              <w:bottom w:val="single" w:sz="8" w:space="0" w:color="4F81BD"/>
            </w:tcBorders>
            <w:shd w:val="clear" w:color="auto" w:fill="auto"/>
            <w:vAlign w:val="center"/>
          </w:tcPr>
          <w:p w:rsidR="00406444" w:rsidRPr="000A6B8A" w:rsidRDefault="00406444" w:rsidP="00C33915">
            <w:pPr>
              <w:spacing w:after="0"/>
              <w:jc w:val="center"/>
              <w:rPr>
                <w:sz w:val="20"/>
                <w:szCs w:val="20"/>
              </w:rPr>
            </w:pPr>
            <w:r w:rsidRPr="000A6B8A">
              <w:rPr>
                <w:noProof/>
                <w:sz w:val="20"/>
                <w:szCs w:val="20"/>
                <w:lang w:eastAsia="de-DE"/>
              </w:rPr>
              <w:drawing>
                <wp:inline distT="0" distB="0" distL="0" distR="0">
                  <wp:extent cx="501015" cy="501015"/>
                  <wp:effectExtent l="19050" t="0" r="0" b="0"/>
                  <wp:docPr id="19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2"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975" w:type="dxa"/>
            <w:tcBorders>
              <w:top w:val="single" w:sz="4" w:space="0" w:color="auto"/>
              <w:bottom w:val="single" w:sz="8" w:space="0" w:color="4F81BD"/>
            </w:tcBorders>
            <w:shd w:val="clear" w:color="auto" w:fill="auto"/>
            <w:vAlign w:val="center"/>
          </w:tcPr>
          <w:p w:rsidR="00406444" w:rsidRPr="000A6B8A" w:rsidRDefault="00406444" w:rsidP="00C33915">
            <w:pPr>
              <w:spacing w:after="0"/>
              <w:jc w:val="center"/>
              <w:rPr>
                <w:sz w:val="20"/>
                <w:szCs w:val="20"/>
              </w:rPr>
            </w:pPr>
            <w:r w:rsidRPr="000A6B8A">
              <w:rPr>
                <w:noProof/>
                <w:sz w:val="20"/>
                <w:szCs w:val="20"/>
                <w:lang w:eastAsia="de-DE"/>
              </w:rPr>
              <w:drawing>
                <wp:inline distT="0" distB="0" distL="0" distR="0">
                  <wp:extent cx="481965" cy="481965"/>
                  <wp:effectExtent l="19050" t="0" r="0" b="0"/>
                  <wp:docPr id="197" name="Grafik 21" descr="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3" cstate="print"/>
                          <a:stretch>
                            <a:fillRect/>
                          </a:stretch>
                        </pic:blipFill>
                        <pic:spPr>
                          <a:xfrm>
                            <a:off x="0" y="0"/>
                            <a:ext cx="481965" cy="481965"/>
                          </a:xfrm>
                          <a:prstGeom prst="rect">
                            <a:avLst/>
                          </a:prstGeom>
                        </pic:spPr>
                      </pic:pic>
                    </a:graphicData>
                  </a:graphic>
                </wp:inline>
              </w:drawing>
            </w:r>
          </w:p>
        </w:tc>
        <w:tc>
          <w:tcPr>
            <w:tcW w:w="1009" w:type="dxa"/>
            <w:tcBorders>
              <w:top w:val="single" w:sz="4" w:space="0" w:color="auto"/>
              <w:bottom w:val="single" w:sz="8" w:space="0" w:color="4F81BD"/>
            </w:tcBorders>
            <w:shd w:val="clear" w:color="auto" w:fill="auto"/>
            <w:vAlign w:val="center"/>
          </w:tcPr>
          <w:p w:rsidR="00406444" w:rsidRPr="000A6B8A" w:rsidRDefault="00406444" w:rsidP="00C33915">
            <w:pPr>
              <w:spacing w:after="0"/>
              <w:jc w:val="center"/>
              <w:rPr>
                <w:sz w:val="20"/>
                <w:szCs w:val="20"/>
              </w:rPr>
            </w:pPr>
            <w:r>
              <w:rPr>
                <w:noProof/>
                <w:sz w:val="20"/>
                <w:szCs w:val="20"/>
                <w:lang w:eastAsia="de-DE"/>
              </w:rPr>
              <w:drawing>
                <wp:inline distT="0" distB="0" distL="0" distR="0">
                  <wp:extent cx="503555" cy="503555"/>
                  <wp:effectExtent l="19050" t="0" r="0" b="0"/>
                  <wp:docPr id="198" name="Grafik 55" descr="Reize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 (2).png"/>
                          <pic:cNvPicPr/>
                        </pic:nvPicPr>
                        <pic:blipFill>
                          <a:blip r:embed="rId14" cstate="print"/>
                          <a:stretch>
                            <a:fillRect/>
                          </a:stretch>
                        </pic:blipFill>
                        <pic:spPr>
                          <a:xfrm>
                            <a:off x="0" y="0"/>
                            <a:ext cx="503555" cy="503555"/>
                          </a:xfrm>
                          <a:prstGeom prst="rect">
                            <a:avLst/>
                          </a:prstGeom>
                        </pic:spPr>
                      </pic:pic>
                    </a:graphicData>
                  </a:graphic>
                </wp:inline>
              </w:drawing>
            </w:r>
          </w:p>
        </w:tc>
        <w:tc>
          <w:tcPr>
            <w:tcW w:w="1134" w:type="dxa"/>
            <w:tcBorders>
              <w:top w:val="single" w:sz="4" w:space="0" w:color="auto"/>
              <w:bottom w:val="single" w:sz="8" w:space="0" w:color="4F81BD"/>
              <w:right w:val="single" w:sz="8" w:space="0" w:color="4F81BD"/>
            </w:tcBorders>
            <w:shd w:val="clear" w:color="auto" w:fill="auto"/>
            <w:vAlign w:val="center"/>
          </w:tcPr>
          <w:p w:rsidR="00406444" w:rsidRPr="00CD03BD" w:rsidRDefault="00406444" w:rsidP="00C33915">
            <w:pPr>
              <w:spacing w:after="0"/>
              <w:jc w:val="center"/>
            </w:pPr>
            <w:r>
              <w:rPr>
                <w:noProof/>
                <w:lang w:eastAsia="de-DE"/>
              </w:rPr>
              <w:drawing>
                <wp:inline distT="0" distB="0" distL="0" distR="0">
                  <wp:extent cx="582930" cy="582930"/>
                  <wp:effectExtent l="19050" t="0" r="7620" b="0"/>
                  <wp:docPr id="199" name="Grafik 54" descr="Umweltgefah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 (2).png"/>
                          <pic:cNvPicPr/>
                        </pic:nvPicPr>
                        <pic:blipFill>
                          <a:blip r:embed="rId15" cstate="print"/>
                          <a:stretch>
                            <a:fillRect/>
                          </a:stretch>
                        </pic:blipFill>
                        <pic:spPr>
                          <a:xfrm>
                            <a:off x="0" y="0"/>
                            <a:ext cx="582930" cy="582930"/>
                          </a:xfrm>
                          <a:prstGeom prst="rect">
                            <a:avLst/>
                          </a:prstGeom>
                        </pic:spPr>
                      </pic:pic>
                    </a:graphicData>
                  </a:graphic>
                </wp:inline>
              </w:drawing>
            </w:r>
          </w:p>
        </w:tc>
      </w:tr>
    </w:tbl>
    <w:p w:rsidR="00406444" w:rsidRDefault="00406444" w:rsidP="00406444">
      <w:pPr>
        <w:tabs>
          <w:tab w:val="left" w:pos="1701"/>
          <w:tab w:val="left" w:pos="1985"/>
        </w:tabs>
        <w:ind w:left="1980" w:hanging="1980"/>
      </w:pPr>
    </w:p>
    <w:p w:rsidR="00406444" w:rsidRDefault="00406444" w:rsidP="00406444">
      <w:pPr>
        <w:tabs>
          <w:tab w:val="left" w:pos="1701"/>
          <w:tab w:val="left" w:pos="1985"/>
        </w:tabs>
        <w:ind w:left="1980" w:hanging="1980"/>
      </w:pPr>
      <w:r>
        <w:t xml:space="preserve">Materialien: </w:t>
      </w:r>
      <w:r>
        <w:tab/>
      </w:r>
      <w:r>
        <w:tab/>
        <w:t xml:space="preserve">Reagenzglas, </w:t>
      </w:r>
      <w:proofErr w:type="spellStart"/>
      <w:r>
        <w:t>Kolbenprober</w:t>
      </w:r>
      <w:proofErr w:type="spellEnd"/>
      <w:r>
        <w:t xml:space="preserve"> mit Hahn</w:t>
      </w:r>
    </w:p>
    <w:p w:rsidR="00406444" w:rsidRPr="00ED07C2" w:rsidRDefault="00406444" w:rsidP="00406444">
      <w:pPr>
        <w:tabs>
          <w:tab w:val="left" w:pos="1701"/>
          <w:tab w:val="left" w:pos="1985"/>
        </w:tabs>
        <w:ind w:left="1980" w:hanging="1980"/>
      </w:pPr>
      <w:r>
        <w:t>Chemikalien:</w:t>
      </w:r>
      <w:r>
        <w:tab/>
      </w:r>
      <w:r>
        <w:tab/>
        <w:t>Kupferspäne, konzentrierte Salpetersäure</w:t>
      </w:r>
    </w:p>
    <w:p w:rsidR="00406444" w:rsidRDefault="00406444" w:rsidP="00406444">
      <w:pPr>
        <w:tabs>
          <w:tab w:val="left" w:pos="1701"/>
          <w:tab w:val="left" w:pos="1985"/>
        </w:tabs>
        <w:spacing w:after="120"/>
        <w:ind w:left="1979" w:hanging="1979"/>
      </w:pPr>
      <w:r>
        <w:t>Durchführung</w:t>
      </w:r>
      <w:r>
        <w:tab/>
      </w:r>
      <w:r>
        <w:tab/>
        <w:t xml:space="preserve">Konzentrierte Salpetersäure wird zu einer </w:t>
      </w:r>
      <w:proofErr w:type="spellStart"/>
      <w:r>
        <w:t>Spatelspitze</w:t>
      </w:r>
      <w:proofErr w:type="spellEnd"/>
      <w:r>
        <w:t xml:space="preserve"> Kupferspäne in einem Reagenzglas an einem Stativ unter dem Abzug gegeben. Das entst</w:t>
      </w:r>
      <w:r>
        <w:t>e</w:t>
      </w:r>
      <w:r>
        <w:t xml:space="preserve">hende Gas wird in einem </w:t>
      </w:r>
      <w:proofErr w:type="spellStart"/>
      <w:r>
        <w:t>Kolbenprober</w:t>
      </w:r>
      <w:proofErr w:type="spellEnd"/>
      <w:r>
        <w:t xml:space="preserve"> aufgefangen, der sofort luftdicht verschlossen wird. (Der </w:t>
      </w:r>
      <w:proofErr w:type="spellStart"/>
      <w:r>
        <w:t>Kolbenprober</w:t>
      </w:r>
      <w:proofErr w:type="spellEnd"/>
      <w:r>
        <w:t xml:space="preserve"> sollte zur Hälfte gefüllt sein). Durch das Eindrücken und Herausziehen des Stempels wird der Druck in dem Gasgemisch verändert. Die Farbveränderungen bei unterschiedlichem Druck im Gasgemisch werden protokolliert. </w:t>
      </w:r>
    </w:p>
    <w:p w:rsidR="00406444" w:rsidRDefault="00406444" w:rsidP="00406444">
      <w:pPr>
        <w:tabs>
          <w:tab w:val="left" w:pos="1701"/>
          <w:tab w:val="left" w:pos="1985"/>
        </w:tabs>
        <w:ind w:left="1980" w:hanging="1980"/>
      </w:pPr>
    </w:p>
    <w:tbl>
      <w:tblPr>
        <w:tblStyle w:val="Tabellengitternetz"/>
        <w:tblW w:w="7707" w:type="dxa"/>
        <w:jc w:val="right"/>
        <w:tblInd w:w="7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07"/>
      </w:tblGrid>
      <w:tr w:rsidR="00406444" w:rsidTr="00C33915">
        <w:trPr>
          <w:jc w:val="right"/>
        </w:trPr>
        <w:tc>
          <w:tcPr>
            <w:tcW w:w="7707" w:type="dxa"/>
          </w:tcPr>
          <w:p w:rsidR="00406444" w:rsidRDefault="00406444" w:rsidP="00C33915">
            <w:pPr>
              <w:keepNext/>
              <w:tabs>
                <w:tab w:val="left" w:pos="1701"/>
                <w:tab w:val="left" w:pos="1985"/>
                <w:tab w:val="center" w:pos="2497"/>
                <w:tab w:val="right" w:pos="4995"/>
              </w:tabs>
              <w:jc w:val="center"/>
            </w:pPr>
            <w:r>
              <w:rPr>
                <w:noProof/>
              </w:rPr>
              <w:lastRenderedPageBreak/>
              <w:drawing>
                <wp:inline distT="0" distB="0" distL="0" distR="0">
                  <wp:extent cx="1264847" cy="3185292"/>
                  <wp:effectExtent l="19050" t="0" r="0" b="0"/>
                  <wp:docPr id="200" name="Bild 39" descr="D:\User\Jana\Göttingen - backup 28.07.2014\Master of Education\SVP\Protokolle\Protokoll 11&amp;12\Bilder11.12\DSC04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User\Jana\Göttingen - backup 28.07.2014\Master of Education\SVP\Protokolle\Protokoll 11&amp;12\Bilder11.12\DSC04173.JPG"/>
                          <pic:cNvPicPr>
                            <a:picLocks noChangeAspect="1" noChangeArrowheads="1"/>
                          </pic:cNvPicPr>
                        </pic:nvPicPr>
                        <pic:blipFill>
                          <a:blip r:embed="rId16" cstate="print"/>
                          <a:srcRect/>
                          <a:stretch>
                            <a:fillRect/>
                          </a:stretch>
                        </pic:blipFill>
                        <pic:spPr bwMode="auto">
                          <a:xfrm flipH="1">
                            <a:off x="0" y="0"/>
                            <a:ext cx="1265372" cy="3186615"/>
                          </a:xfrm>
                          <a:prstGeom prst="rect">
                            <a:avLst/>
                          </a:prstGeom>
                          <a:noFill/>
                          <a:ln w="9525">
                            <a:noFill/>
                            <a:miter lim="800000"/>
                            <a:headEnd/>
                            <a:tailEnd/>
                          </a:ln>
                        </pic:spPr>
                      </pic:pic>
                    </a:graphicData>
                  </a:graphic>
                </wp:inline>
              </w:drawing>
            </w:r>
          </w:p>
          <w:p w:rsidR="00406444" w:rsidRDefault="00406444" w:rsidP="00C33915">
            <w:pPr>
              <w:pStyle w:val="Beschriftung"/>
              <w:jc w:val="center"/>
            </w:pPr>
            <w:r>
              <w:t xml:space="preserve">Abbildung </w:t>
            </w:r>
            <w:fldSimple w:instr=" SEQ Abbildung \* ARABIC ">
              <w:r>
                <w:rPr>
                  <w:noProof/>
                </w:rPr>
                <w:t>6</w:t>
              </w:r>
            </w:fldSimple>
            <w:r>
              <w:t xml:space="preserve">: Versuchsaufbau für die Reaktion von </w:t>
            </w:r>
            <w:proofErr w:type="gramStart"/>
            <w:r>
              <w:t>Kupferspäne</w:t>
            </w:r>
            <w:proofErr w:type="gramEnd"/>
            <w:r>
              <w:t xml:space="preserve"> mit Salpetersäure und das Au</w:t>
            </w:r>
            <w:r>
              <w:t>f</w:t>
            </w:r>
            <w:r>
              <w:t xml:space="preserve">fangen des entstehenden Gases in einem </w:t>
            </w:r>
            <w:proofErr w:type="spellStart"/>
            <w:r>
              <w:t>Kolbenprober</w:t>
            </w:r>
            <w:proofErr w:type="spellEnd"/>
            <w:r>
              <w:t>.</w:t>
            </w:r>
          </w:p>
          <w:p w:rsidR="00406444" w:rsidRDefault="00406444" w:rsidP="00C33915">
            <w:pPr>
              <w:pStyle w:val="Beschriftung"/>
            </w:pPr>
          </w:p>
        </w:tc>
      </w:tr>
    </w:tbl>
    <w:p w:rsidR="00406444" w:rsidRDefault="00406444" w:rsidP="00406444">
      <w:pPr>
        <w:tabs>
          <w:tab w:val="left" w:pos="1701"/>
          <w:tab w:val="left" w:pos="1985"/>
        </w:tabs>
        <w:ind w:left="1980" w:hanging="1980"/>
      </w:pPr>
      <w:r>
        <w:t>Beobachtung:</w:t>
      </w:r>
      <w:r>
        <w:tab/>
      </w:r>
      <w:r>
        <w:tab/>
        <w:t xml:space="preserve">Bei der Reaktion von </w:t>
      </w:r>
      <w:proofErr w:type="gramStart"/>
      <w:r>
        <w:t>Kupferspäne</w:t>
      </w:r>
      <w:proofErr w:type="gramEnd"/>
      <w:r>
        <w:t xml:space="preserve"> mit Salpetersäure entsteht ein braunes Gas. Bei Druckerhöhung, bzw. dem Zusammenpressen des </w:t>
      </w:r>
      <w:proofErr w:type="spellStart"/>
      <w:r>
        <w:t>Kolbenprobers</w:t>
      </w:r>
      <w:proofErr w:type="spellEnd"/>
      <w:r>
        <w:t xml:space="preserve"> </w:t>
      </w:r>
      <w:proofErr w:type="spellStart"/>
      <w:r>
        <w:t>hellt</w:t>
      </w:r>
      <w:proofErr w:type="spellEnd"/>
      <w:r>
        <w:t xml:space="preserve"> das Gasgemisch auf, und bei Druckverminderung verdunkelt sich die braune Farbe.</w:t>
      </w:r>
    </w:p>
    <w:tbl>
      <w:tblPr>
        <w:tblStyle w:val="Tabellengitternetz"/>
        <w:tblpPr w:leftFromText="141" w:rightFromText="141" w:vertAnchor="text" w:tblpY="1"/>
        <w:tblOverlap w:val="nev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5"/>
        <w:gridCol w:w="3685"/>
      </w:tblGrid>
      <w:tr w:rsidR="00406444" w:rsidTr="00C33915">
        <w:tc>
          <w:tcPr>
            <w:tcW w:w="3515" w:type="dxa"/>
          </w:tcPr>
          <w:p w:rsidR="00406444" w:rsidRDefault="00406444" w:rsidP="00C33915">
            <w:pPr>
              <w:keepNext/>
              <w:tabs>
                <w:tab w:val="left" w:pos="1701"/>
                <w:tab w:val="left" w:pos="1985"/>
              </w:tabs>
              <w:jc w:val="center"/>
            </w:pPr>
            <w:r>
              <w:rPr>
                <w:noProof/>
              </w:rPr>
              <w:drawing>
                <wp:inline distT="0" distB="0" distL="0" distR="0">
                  <wp:extent cx="1418434" cy="3204376"/>
                  <wp:effectExtent l="19050" t="0" r="0" b="0"/>
                  <wp:docPr id="201" name="Bild 40" descr="D:\User\Jana\Göttingen - backup 28.07.2014\Master of Education\SVP\Protokolle\Protokoll 11&amp;12\Bilder11.12\DSC04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User\Jana\Göttingen - backup 28.07.2014\Master of Education\SVP\Protokolle\Protokoll 11&amp;12\Bilder11.12\DSC04181.JPG"/>
                          <pic:cNvPicPr>
                            <a:picLocks noChangeAspect="1" noChangeArrowheads="1"/>
                          </pic:cNvPicPr>
                        </pic:nvPicPr>
                        <pic:blipFill>
                          <a:blip r:embed="rId17" cstate="print"/>
                          <a:srcRect/>
                          <a:stretch>
                            <a:fillRect/>
                          </a:stretch>
                        </pic:blipFill>
                        <pic:spPr bwMode="auto">
                          <a:xfrm flipH="1">
                            <a:off x="0" y="0"/>
                            <a:ext cx="1418394" cy="3204286"/>
                          </a:xfrm>
                          <a:prstGeom prst="rect">
                            <a:avLst/>
                          </a:prstGeom>
                          <a:noFill/>
                          <a:ln w="9525">
                            <a:noFill/>
                            <a:miter lim="800000"/>
                            <a:headEnd/>
                            <a:tailEnd/>
                          </a:ln>
                        </pic:spPr>
                      </pic:pic>
                    </a:graphicData>
                  </a:graphic>
                </wp:inline>
              </w:drawing>
            </w:r>
          </w:p>
          <w:p w:rsidR="00406444" w:rsidRDefault="00406444" w:rsidP="00C33915">
            <w:pPr>
              <w:pStyle w:val="Beschriftung"/>
              <w:jc w:val="center"/>
            </w:pPr>
            <w:r>
              <w:t xml:space="preserve">Abbildung </w:t>
            </w:r>
            <w:fldSimple w:instr=" SEQ Abbildung \* ARABIC ">
              <w:r>
                <w:rPr>
                  <w:noProof/>
                </w:rPr>
                <w:t>7</w:t>
              </w:r>
            </w:fldSimple>
            <w:r>
              <w:t>: Die Farbvertiefung bei Druckminderung.</w:t>
            </w:r>
          </w:p>
        </w:tc>
        <w:tc>
          <w:tcPr>
            <w:tcW w:w="3685" w:type="dxa"/>
          </w:tcPr>
          <w:p w:rsidR="00406444" w:rsidRDefault="00406444" w:rsidP="00C33915">
            <w:pPr>
              <w:keepNext/>
              <w:tabs>
                <w:tab w:val="left" w:pos="1701"/>
                <w:tab w:val="left" w:pos="1985"/>
              </w:tabs>
              <w:jc w:val="center"/>
            </w:pPr>
            <w:r>
              <w:rPr>
                <w:noProof/>
              </w:rPr>
              <w:drawing>
                <wp:inline distT="0" distB="0" distL="0" distR="0">
                  <wp:extent cx="1436774" cy="3101009"/>
                  <wp:effectExtent l="19050" t="0" r="0" b="0"/>
                  <wp:docPr id="202" name="Bild 41" descr="D:\User\Jana\Göttingen - backup 28.07.2014\Master of Education\SVP\Protokolle\Protokoll 11&amp;12\Bilder11.12\DSC04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User\Jana\Göttingen - backup 28.07.2014\Master of Education\SVP\Protokolle\Protokoll 11&amp;12\Bilder11.12\DSC04182.JPG"/>
                          <pic:cNvPicPr>
                            <a:picLocks noChangeAspect="1" noChangeArrowheads="1"/>
                          </pic:cNvPicPr>
                        </pic:nvPicPr>
                        <pic:blipFill>
                          <a:blip r:embed="rId18" cstate="print"/>
                          <a:srcRect/>
                          <a:stretch>
                            <a:fillRect/>
                          </a:stretch>
                        </pic:blipFill>
                        <pic:spPr bwMode="auto">
                          <a:xfrm>
                            <a:off x="0" y="0"/>
                            <a:ext cx="1438852" cy="3105495"/>
                          </a:xfrm>
                          <a:prstGeom prst="rect">
                            <a:avLst/>
                          </a:prstGeom>
                          <a:noFill/>
                          <a:ln w="9525">
                            <a:noFill/>
                            <a:miter lim="800000"/>
                            <a:headEnd/>
                            <a:tailEnd/>
                          </a:ln>
                        </pic:spPr>
                      </pic:pic>
                    </a:graphicData>
                  </a:graphic>
                </wp:inline>
              </w:drawing>
            </w:r>
          </w:p>
          <w:p w:rsidR="00406444" w:rsidRDefault="00406444" w:rsidP="00C33915">
            <w:pPr>
              <w:pStyle w:val="Beschriftung"/>
              <w:jc w:val="center"/>
            </w:pPr>
            <w:r>
              <w:t xml:space="preserve">Abbildung </w:t>
            </w:r>
            <w:fldSimple w:instr=" SEQ Abbildung \* ARABIC ">
              <w:r>
                <w:rPr>
                  <w:noProof/>
                </w:rPr>
                <w:t>8</w:t>
              </w:r>
            </w:fldSimple>
            <w:r>
              <w:t>: Die Farbaufhellung bei Dr</w:t>
            </w:r>
            <w:r>
              <w:t>u</w:t>
            </w:r>
            <w:r>
              <w:t>ckerhöhung.</w:t>
            </w:r>
          </w:p>
        </w:tc>
      </w:tr>
    </w:tbl>
    <w:p w:rsidR="00406444" w:rsidRDefault="00406444" w:rsidP="00406444">
      <w:pPr>
        <w:tabs>
          <w:tab w:val="left" w:pos="1701"/>
          <w:tab w:val="left" w:pos="1985"/>
        </w:tabs>
        <w:spacing w:before="120" w:after="120"/>
        <w:ind w:left="1980" w:hanging="1980"/>
      </w:pPr>
    </w:p>
    <w:p w:rsidR="00406444" w:rsidRPr="008F6042" w:rsidRDefault="00406444" w:rsidP="00406444">
      <w:pPr>
        <w:tabs>
          <w:tab w:val="left" w:pos="1701"/>
          <w:tab w:val="left" w:pos="1985"/>
        </w:tabs>
        <w:spacing w:before="120" w:after="120"/>
        <w:ind w:left="1980" w:hanging="1980"/>
      </w:pPr>
      <w:r>
        <w:lastRenderedPageBreak/>
        <w:t>Deutung:</w:t>
      </w:r>
      <w:r>
        <w:tab/>
      </w:r>
      <w:r>
        <w:tab/>
        <w:t xml:space="preserve">Da bei erhöhtem Druck die Seite des Gleichgewichts bevorzugt wird, in der weniger Teilchen vorliegen, wird in diesem Fall die </w:t>
      </w:r>
      <w:proofErr w:type="spellStart"/>
      <w:r>
        <w:t>Hinreaktion</w:t>
      </w:r>
      <w:proofErr w:type="spellEnd"/>
      <w:r>
        <w:t xml:space="preserve"> bevorzugt, da zwei Stickstoffdioxide zu einem </w:t>
      </w:r>
      <w:proofErr w:type="spellStart"/>
      <w:r>
        <w:t>Distickstofftetraoxid</w:t>
      </w:r>
      <w:proofErr w:type="spellEnd"/>
      <w:r>
        <w:t xml:space="preserve"> reagieren und s</w:t>
      </w:r>
      <w:r>
        <w:t>o</w:t>
      </w:r>
      <w:r>
        <w:t xml:space="preserve">mit weniger Teilchen vorliegen. Demnach entfärbt sich das Gas, da </w:t>
      </w:r>
      <w:r w:rsidRPr="002C6AC6">
        <w:rPr>
          <w:i/>
        </w:rPr>
        <w:t>N</w:t>
      </w:r>
      <w:r w:rsidRPr="002C6AC6">
        <w:rPr>
          <w:i/>
          <w:vertAlign w:val="subscript"/>
        </w:rPr>
        <w:t>2</w:t>
      </w:r>
      <w:r w:rsidRPr="002C6AC6">
        <w:rPr>
          <w:i/>
        </w:rPr>
        <w:t>O</w:t>
      </w:r>
      <w:r w:rsidRPr="002C6AC6">
        <w:rPr>
          <w:i/>
          <w:vertAlign w:val="subscript"/>
        </w:rPr>
        <w:t>4(g)</w:t>
      </w:r>
      <w:r>
        <w:rPr>
          <w:i/>
          <w:vertAlign w:val="subscript"/>
        </w:rPr>
        <w:t xml:space="preserve"> </w:t>
      </w:r>
      <w:r>
        <w:t xml:space="preserve">farblos ist. Bei einer Druckminderung wird die Rückreaktion bevorzugt, da bei niedrigerem Druck die Seite des Gleichgewichts bevorzugt wird, in dem mehr Teilchen vorliegen, in diesem Fall </w:t>
      </w:r>
      <w:r w:rsidRPr="002C6AC6">
        <w:rPr>
          <w:i/>
        </w:rPr>
        <w:t>NO</w:t>
      </w:r>
      <w:r w:rsidRPr="002C6AC6">
        <w:rPr>
          <w:i/>
          <w:vertAlign w:val="subscript"/>
        </w:rPr>
        <w:t>2</w:t>
      </w:r>
      <w:r w:rsidRPr="002C6AC6">
        <w:rPr>
          <w:i/>
        </w:rPr>
        <w:t xml:space="preserve"> </w:t>
      </w:r>
      <w:r w:rsidRPr="002C6AC6">
        <w:rPr>
          <w:i/>
          <w:vertAlign w:val="subscript"/>
        </w:rPr>
        <w:t>(g)</w:t>
      </w:r>
      <w:r>
        <w:t xml:space="preserve">, wodurch das Gasgemisch ein dunkleres braun annimmt. </w:t>
      </w:r>
    </w:p>
    <w:p w:rsidR="00406444" w:rsidRPr="00DB3EF8" w:rsidRDefault="00406444" w:rsidP="00406444">
      <w:pPr>
        <w:tabs>
          <w:tab w:val="left" w:pos="1701"/>
          <w:tab w:val="left" w:pos="1985"/>
        </w:tabs>
        <w:spacing w:before="120" w:after="120"/>
        <w:ind w:left="1980" w:hanging="1980"/>
        <w:jc w:val="center"/>
        <w:rPr>
          <w:rFonts w:asciiTheme="majorHAnsi" w:hAnsiTheme="majorHAnsi" w:cs="Tahoma"/>
          <w:i/>
          <w:color w:val="000000"/>
          <w:shd w:val="clear" w:color="auto" w:fill="FFFFFF"/>
          <w:vertAlign w:val="subscript"/>
        </w:rPr>
      </w:pPr>
      <w:r w:rsidRPr="002C6AC6">
        <w:rPr>
          <w:i/>
        </w:rPr>
        <w:t>2</w:t>
      </w:r>
      <w:r w:rsidRPr="002C6AC6">
        <w:rPr>
          <w:i/>
          <w:vertAlign w:val="subscript"/>
        </w:rPr>
        <w:t xml:space="preserve"> </w:t>
      </w:r>
      <w:r w:rsidRPr="002C6AC6">
        <w:rPr>
          <w:i/>
        </w:rPr>
        <w:t>NO</w:t>
      </w:r>
      <w:r w:rsidRPr="002C6AC6">
        <w:rPr>
          <w:i/>
          <w:vertAlign w:val="subscript"/>
        </w:rPr>
        <w:t>2</w:t>
      </w:r>
      <w:r w:rsidRPr="002C6AC6">
        <w:rPr>
          <w:i/>
        </w:rPr>
        <w:t xml:space="preserve"> </w:t>
      </w:r>
      <w:r w:rsidRPr="002C6AC6">
        <w:rPr>
          <w:i/>
          <w:vertAlign w:val="subscript"/>
        </w:rPr>
        <w:t>(g)</w:t>
      </w:r>
      <w:r w:rsidRPr="002C6AC6">
        <w:rPr>
          <w:i/>
        </w:rPr>
        <w:t xml:space="preserve"> </w:t>
      </w:r>
      <w:r>
        <w:t>⇌</w:t>
      </w:r>
      <w:r w:rsidRPr="002C6AC6">
        <w:rPr>
          <w:i/>
          <w:vertAlign w:val="subscript"/>
        </w:rPr>
        <w:t xml:space="preserve">  </w:t>
      </w:r>
      <w:r w:rsidRPr="002C6AC6">
        <w:rPr>
          <w:i/>
        </w:rPr>
        <w:t>N</w:t>
      </w:r>
      <w:r w:rsidRPr="002C6AC6">
        <w:rPr>
          <w:i/>
          <w:vertAlign w:val="subscript"/>
        </w:rPr>
        <w:t>2</w:t>
      </w:r>
      <w:r w:rsidRPr="002C6AC6">
        <w:rPr>
          <w:i/>
        </w:rPr>
        <w:t>O</w:t>
      </w:r>
      <w:r w:rsidRPr="002C6AC6">
        <w:rPr>
          <w:i/>
          <w:vertAlign w:val="subscript"/>
        </w:rPr>
        <w:t>4(g)</w:t>
      </w:r>
    </w:p>
    <w:p w:rsidR="00406444" w:rsidRPr="00577168" w:rsidRDefault="00406444" w:rsidP="00406444">
      <w:pPr>
        <w:tabs>
          <w:tab w:val="left" w:pos="1701"/>
          <w:tab w:val="left" w:pos="1985"/>
        </w:tabs>
        <w:spacing w:after="0"/>
        <w:ind w:left="1979" w:hanging="1979"/>
        <w:rPr>
          <w:rFonts w:asciiTheme="majorHAnsi" w:hAnsiTheme="majorHAnsi" w:cs="Tahoma"/>
          <w:color w:val="000000"/>
          <w:shd w:val="clear" w:color="auto" w:fill="FFFFFF"/>
          <w:vertAlign w:val="superscript"/>
        </w:rPr>
      </w:pPr>
    </w:p>
    <w:p w:rsidR="00406444" w:rsidRPr="007B2415" w:rsidRDefault="00406444" w:rsidP="00406444">
      <w:pPr>
        <w:tabs>
          <w:tab w:val="left" w:pos="1701"/>
          <w:tab w:val="left" w:pos="1985"/>
        </w:tabs>
        <w:ind w:left="1980" w:hanging="1980"/>
      </w:pPr>
      <w:r w:rsidRPr="007B2415">
        <w:t xml:space="preserve">Entsorgung: </w:t>
      </w:r>
      <w:r w:rsidRPr="007B2415">
        <w:tab/>
      </w:r>
      <w:r w:rsidRPr="007B2415">
        <w:tab/>
      </w:r>
      <w:r>
        <w:t xml:space="preserve">Das Gas kann im Abzug entsorgt werden, die Reste der Kupferspäne und der Salpetersäure im Schwermetallbehälter.  </w:t>
      </w:r>
    </w:p>
    <w:p w:rsidR="00406444" w:rsidRDefault="00406444" w:rsidP="00406444">
      <w:pPr>
        <w:tabs>
          <w:tab w:val="left" w:pos="1701"/>
          <w:tab w:val="left" w:pos="1985"/>
        </w:tabs>
        <w:ind w:left="1980" w:hanging="1980"/>
      </w:pPr>
      <w:r>
        <w:t xml:space="preserve">Literatur: </w:t>
      </w:r>
      <w:r>
        <w:tab/>
      </w:r>
      <w:r>
        <w:tab/>
        <w:t xml:space="preserve">[1] K. Häusler et al., Experimente für den Chemieunterricht, </w:t>
      </w:r>
      <w:proofErr w:type="spellStart"/>
      <w:r>
        <w:t>Oldenbourg</w:t>
      </w:r>
      <w:proofErr w:type="spellEnd"/>
      <w:r>
        <w:t>, 2. Auflage, 1995,  S. 203-204.</w:t>
      </w:r>
    </w:p>
    <w:p w:rsidR="00406444" w:rsidRDefault="00406444" w:rsidP="00406444">
      <w:pPr>
        <w:tabs>
          <w:tab w:val="left" w:pos="1701"/>
          <w:tab w:val="left" w:pos="1985"/>
        </w:tabs>
        <w:ind w:left="1980" w:hanging="1980"/>
      </w:pPr>
      <w:r>
        <w:pict>
          <v:shape id="_x0000_s1060" type="#_x0000_t202" style="width:462.45pt;height:12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60">
              <w:txbxContent>
                <w:p w:rsidR="00406444" w:rsidRPr="00CD03BD" w:rsidRDefault="00406444" w:rsidP="00406444">
                  <w:pPr>
                    <w:rPr>
                      <w:color w:val="1F497D"/>
                    </w:rPr>
                  </w:pPr>
                  <w:r w:rsidRPr="00DD4499">
                    <w:rPr>
                      <w:b/>
                      <w:color w:val="auto"/>
                    </w:rPr>
                    <w:t>Unterrichtsanschlüsse</w:t>
                  </w:r>
                  <w:r w:rsidRPr="00CD03BD">
                    <w:rPr>
                      <w:b/>
                      <w:color w:val="1F497D"/>
                    </w:rPr>
                    <w:t xml:space="preserve"> </w:t>
                  </w:r>
                  <w:r>
                    <w:rPr>
                      <w:color w:val="auto"/>
                    </w:rPr>
                    <w:t xml:space="preserve">Dieser Versuch kann in der Einheit chemisches Gleichgewicht oder die Prinzipien von Le </w:t>
                  </w:r>
                  <w:proofErr w:type="spellStart"/>
                  <w:r>
                    <w:rPr>
                      <w:color w:val="auto"/>
                    </w:rPr>
                    <w:t>Chatelier</w:t>
                  </w:r>
                  <w:proofErr w:type="spellEnd"/>
                  <w:r>
                    <w:rPr>
                      <w:color w:val="auto"/>
                    </w:rPr>
                    <w:t xml:space="preserve"> eingesetzt werden. Da der Versuch sehr anschaulich ist, bietet er sich trotz seiner Giftigkeit als Lehrerversuch an. Der Versuch muss jedoch mit großer Vorsicht und unter dem Abzug durchgeführt werden. Alternativ könnte die Abhängigkeit des Gleichg</w:t>
                  </w:r>
                  <w:r>
                    <w:rPr>
                      <w:color w:val="auto"/>
                    </w:rPr>
                    <w:t>e</w:t>
                  </w:r>
                  <w:r>
                    <w:rPr>
                      <w:color w:val="auto"/>
                    </w:rPr>
                    <w:t xml:space="preserve">wichts vom Druck in einem </w:t>
                  </w:r>
                  <w:proofErr w:type="spellStart"/>
                  <w:r>
                    <w:rPr>
                      <w:color w:val="auto"/>
                    </w:rPr>
                    <w:t>Kolbenprober</w:t>
                  </w:r>
                  <w:proofErr w:type="spellEnd"/>
                  <w:r>
                    <w:rPr>
                      <w:color w:val="auto"/>
                    </w:rPr>
                    <w:t xml:space="preserve"> mit dem Gas CO</w:t>
                  </w:r>
                  <w:r>
                    <w:rPr>
                      <w:color w:val="auto"/>
                      <w:vertAlign w:val="subscript"/>
                    </w:rPr>
                    <w:t>2</w:t>
                  </w:r>
                  <w:r>
                    <w:rPr>
                      <w:color w:val="auto"/>
                    </w:rPr>
                    <w:t xml:space="preserve"> und Wasser gezeigt werden, der Versuch mit Stickstoffdioxid ist jedoch auf Grund der Farbe von Stickstoffdioxid anschaulicher. </w:t>
                  </w:r>
                </w:p>
              </w:txbxContent>
            </v:textbox>
            <w10:wrap type="none"/>
            <w10:anchorlock/>
          </v:shape>
        </w:pict>
      </w:r>
    </w:p>
    <w:p w:rsidR="00E6534C" w:rsidRPr="00406444" w:rsidRDefault="00E6534C" w:rsidP="00406444"/>
    <w:sectPr w:rsidR="00E6534C" w:rsidRPr="00406444" w:rsidSect="00651503">
      <w:head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62C" w:rsidRDefault="00B1062C" w:rsidP="00EC3514">
      <w:pPr>
        <w:spacing w:after="0" w:line="240" w:lineRule="auto"/>
      </w:pPr>
      <w:r>
        <w:separator/>
      </w:r>
    </w:p>
  </w:endnote>
  <w:endnote w:type="continuationSeparator" w:id="0">
    <w:p w:rsidR="00B1062C" w:rsidRDefault="00B1062C"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62C" w:rsidRDefault="00B1062C" w:rsidP="00EC3514">
      <w:pPr>
        <w:spacing w:after="0" w:line="240" w:lineRule="auto"/>
      </w:pPr>
      <w:r>
        <w:separator/>
      </w:r>
    </w:p>
  </w:footnote>
  <w:footnote w:type="continuationSeparator" w:id="0">
    <w:p w:rsidR="00B1062C" w:rsidRDefault="00B1062C"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406444">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D18"/>
    <w:multiLevelType w:val="hybridMultilevel"/>
    <w:tmpl w:val="A1388732"/>
    <w:lvl w:ilvl="0" w:tplc="06A8D3DC">
      <w:start w:val="2"/>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0926FA"/>
    <w:multiLevelType w:val="hybridMultilevel"/>
    <w:tmpl w:val="D2C8D07E"/>
    <w:lvl w:ilvl="0" w:tplc="3822EEE8">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BD0BE2"/>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35909F2"/>
    <w:multiLevelType w:val="hybridMultilevel"/>
    <w:tmpl w:val="AA8EB04C"/>
    <w:lvl w:ilvl="0" w:tplc="A5901108">
      <w:start w:val="6"/>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240216"/>
    <w:multiLevelType w:val="hybridMultilevel"/>
    <w:tmpl w:val="7974F1CC"/>
    <w:lvl w:ilvl="0" w:tplc="2F10C8F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4FE2588A"/>
    <w:multiLevelType w:val="hybridMultilevel"/>
    <w:tmpl w:val="B3E2676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1392F48"/>
    <w:multiLevelType w:val="hybridMultilevel"/>
    <w:tmpl w:val="47FAD580"/>
    <w:lvl w:ilvl="0" w:tplc="0FBE599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7714520"/>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7829174E"/>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1"/>
  </w:num>
  <w:num w:numId="5">
    <w:abstractNumId w:val="12"/>
  </w:num>
  <w:num w:numId="6">
    <w:abstractNumId w:val="10"/>
  </w:num>
  <w:num w:numId="7">
    <w:abstractNumId w:val="3"/>
  </w:num>
  <w:num w:numId="8">
    <w:abstractNumId w:val="4"/>
  </w:num>
  <w:num w:numId="9">
    <w:abstractNumId w:val="5"/>
  </w:num>
  <w:num w:numId="10">
    <w:abstractNumId w:val="0"/>
  </w:num>
  <w:num w:numId="11">
    <w:abstractNumId w:val="1"/>
  </w:num>
  <w:num w:numId="12">
    <w:abstractNumId w:val="9"/>
  </w:num>
  <w:num w:numId="13">
    <w:abstractNumId w:val="8"/>
  </w:num>
  <w:num w:numId="14">
    <w:abstractNumId w:val="7"/>
    <w:lvlOverride w:ilvl="0">
      <w:startOverride w:val="4"/>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A42B4"/>
    <w:rsid w:val="003931B3"/>
    <w:rsid w:val="003F413F"/>
    <w:rsid w:val="00406444"/>
    <w:rsid w:val="0049618C"/>
    <w:rsid w:val="005C1212"/>
    <w:rsid w:val="00601DD6"/>
    <w:rsid w:val="00651503"/>
    <w:rsid w:val="006B513F"/>
    <w:rsid w:val="00933D3F"/>
    <w:rsid w:val="009B496D"/>
    <w:rsid w:val="00A0189E"/>
    <w:rsid w:val="00B1062C"/>
    <w:rsid w:val="00B415FA"/>
    <w:rsid w:val="00B5741E"/>
    <w:rsid w:val="00BF11A0"/>
    <w:rsid w:val="00D12B52"/>
    <w:rsid w:val="00D57F5D"/>
    <w:rsid w:val="00DE74CC"/>
    <w:rsid w:val="00E6534C"/>
    <w:rsid w:val="00EC3514"/>
    <w:rsid w:val="00F129CA"/>
    <w:rsid w:val="00FF76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 w:type="character" w:customStyle="1" w:styleId="apple-converted-space">
    <w:name w:val="apple-converted-space"/>
    <w:basedOn w:val="Absatz-Standardschriftart"/>
    <w:rsid w:val="00B41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3616C4"/>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1972</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2014-08-26T19:35:00Z</cp:lastPrinted>
  <dcterms:created xsi:type="dcterms:W3CDTF">2014-08-26T19:36:00Z</dcterms:created>
  <dcterms:modified xsi:type="dcterms:W3CDTF">2014-08-26T19:36:00Z</dcterms:modified>
</cp:coreProperties>
</file>