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45" w:rsidRDefault="005E5C45" w:rsidP="005E5C45">
      <w:pPr>
        <w:pStyle w:val="berschrift1"/>
        <w:numPr>
          <w:ilvl w:val="0"/>
          <w:numId w:val="0"/>
        </w:numPr>
        <w:ind w:left="432" w:hanging="432"/>
      </w:pPr>
      <w:bookmarkStart w:id="0" w:name="_Toc396339261"/>
      <w:r>
        <w:t>V 4 – Abhängigkeit des Gleichgewichts von der Konzentration</w:t>
      </w:r>
      <w:bookmarkEnd w:id="0"/>
      <w:r>
        <w:t xml:space="preserve"> </w:t>
      </w:r>
    </w:p>
    <w:p w:rsidR="005E5C45" w:rsidRDefault="005E5C45" w:rsidP="005E5C45">
      <w:pPr>
        <w:tabs>
          <w:tab w:val="left" w:pos="1701"/>
          <w:tab w:val="left" w:pos="1985"/>
        </w:tabs>
        <w:ind w:left="1980" w:hanging="1980"/>
        <w:rPr>
          <w:b/>
        </w:rPr>
      </w:pPr>
      <w:r w:rsidRPr="00742B4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.55pt;margin-top:17.9pt;width:462.45pt;height:142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 style="mso-next-textbox:#_x0000_s1065">
              <w:txbxContent>
                <w:p w:rsidR="005E5C45" w:rsidRPr="00CD03BD" w:rsidRDefault="005E5C45" w:rsidP="005E5C45">
                  <w:pPr>
                    <w:rPr>
                      <w:color w:val="1F497D"/>
                    </w:rPr>
                  </w:pPr>
                  <w:r>
                    <w:rPr>
                      <w:color w:val="auto"/>
                    </w:rPr>
                    <w:t xml:space="preserve">In diesem Versuch können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die Abhängigkeit des Gleichgewichts von der Konzentration untersuchen, indem sie die Konzentrationen der Edukte in einem dynamischen Gleichgewicht verändern. Für diesen Versuch sollten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das Konzept des chemischen Gleichgewichts bereits verstanden haben sowie die Gleichgewichtskonstante </w:t>
                  </w:r>
                  <w:proofErr w:type="spellStart"/>
                  <w:r>
                    <w:rPr>
                      <w:color w:val="auto"/>
                    </w:rPr>
                    <w:t>K</w:t>
                  </w:r>
                  <w:r>
                    <w:rPr>
                      <w:color w:val="auto"/>
                      <w:vertAlign w:val="subscript"/>
                    </w:rPr>
                    <w:t>c</w:t>
                  </w:r>
                  <w:proofErr w:type="spellEnd"/>
                  <w:r>
                    <w:rPr>
                      <w:color w:val="auto"/>
                    </w:rPr>
                    <w:t xml:space="preserve"> und die Begriffe Hin-und Rückreakt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>on kennen, sodass sie den Versuch deuten können. Des Weiteren müssen sie mit dem Masse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wirkungsgesetzt vertraut sein. Der Versuch kann als Schülerversuch durchgeführt werden, jedoch auch als Demonstrationsversuch.  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E5C45" w:rsidRPr="00CD03BD" w:rsidTr="00C33915">
        <w:tc>
          <w:tcPr>
            <w:tcW w:w="9322" w:type="dxa"/>
            <w:gridSpan w:val="9"/>
            <w:shd w:val="clear" w:color="auto" w:fill="4F81BD"/>
            <w:vAlign w:val="center"/>
          </w:tcPr>
          <w:p w:rsidR="005E5C45" w:rsidRPr="00CD03BD" w:rsidRDefault="005E5C45" w:rsidP="00C33915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5E5C45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910C1C" w:rsidRDefault="005E5C45" w:rsidP="00C33915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FeCl</w:t>
            </w:r>
            <w:r>
              <w:rPr>
                <w:sz w:val="20"/>
                <w:vertAlign w:val="subscript"/>
              </w:rPr>
              <w:t>3</w:t>
            </w:r>
            <m:oMath>
              <m:r>
                <w:rPr>
                  <w:rFonts w:ascii="Cambria Math" w:hAnsi="Cambria Math"/>
                  <w:sz w:val="20"/>
                  <w:vertAlign w:val="subscript"/>
                </w:rPr>
                <m:t xml:space="preserve"> ∙</m:t>
              </m:r>
            </m:oMath>
            <w:r>
              <w:rPr>
                <w:sz w:val="20"/>
              </w:rPr>
              <w:t xml:space="preserve"> 6H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2747D" w:rsidRDefault="005E5C45" w:rsidP="00C339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302-315-318-317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E5C45" w:rsidRPr="00C2747D" w:rsidRDefault="005E5C45" w:rsidP="00C339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280-302+352-305+351+338-313</w:t>
            </w:r>
          </w:p>
        </w:tc>
      </w:tr>
      <w:tr w:rsidR="005E5C45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Default="005E5C45" w:rsidP="00C33915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SCN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2747D" w:rsidRDefault="005E5C45" w:rsidP="00C339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332-312-302-412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E5C45" w:rsidRPr="00C2747D" w:rsidRDefault="005E5C45" w:rsidP="00C339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273-302+352</w:t>
            </w:r>
          </w:p>
        </w:tc>
      </w:tr>
      <w:tr w:rsidR="005E5C45" w:rsidRPr="00CD03BD" w:rsidTr="00C3391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05" name="Grafik 8" descr="Ätze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06" name="Grafik 43" descr="Brandförder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 (2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07" name="Grafik 27" descr="Brennba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 (2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08" name="Grafik 26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015" cy="501015"/>
                  <wp:effectExtent l="19050" t="0" r="0" b="0"/>
                  <wp:docPr id="20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015" cy="501015"/>
                  <wp:effectExtent l="19050" t="0" r="0" b="0"/>
                  <wp:docPr id="21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211" name="Grafik 45" descr="Gifti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 (2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12" name="Grafik 26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E5C45" w:rsidRPr="00CD03BD" w:rsidRDefault="005E5C45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015" cy="501015"/>
                  <wp:effectExtent l="19050" t="0" r="0" b="0"/>
                  <wp:docPr id="21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C45" w:rsidRPr="007F122F" w:rsidRDefault="005E5C45" w:rsidP="005E5C45">
      <w:pPr>
        <w:tabs>
          <w:tab w:val="left" w:pos="1701"/>
          <w:tab w:val="left" w:pos="1985"/>
        </w:tabs>
        <w:ind w:left="1980" w:hanging="1980"/>
        <w:rPr>
          <w:b/>
        </w:rPr>
      </w:pPr>
    </w:p>
    <w:p w:rsidR="005E5C45" w:rsidRDefault="005E5C45" w:rsidP="005E5C4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(1 L), Becherglas (100 </w:t>
      </w:r>
      <w:proofErr w:type="spellStart"/>
      <w:r>
        <w:t>mL</w:t>
      </w:r>
      <w:proofErr w:type="spellEnd"/>
      <w:r>
        <w:t>), 3 Reagenzgläser, Reagenzglasstä</w:t>
      </w:r>
      <w:r>
        <w:t>n</w:t>
      </w:r>
      <w:r>
        <w:t xml:space="preserve">der, Tropfpipette </w:t>
      </w:r>
    </w:p>
    <w:p w:rsidR="005E5C45" w:rsidRPr="00ED07C2" w:rsidRDefault="005E5C45" w:rsidP="005E5C4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Ammoniumthiocyanat</w:t>
      </w:r>
      <w:proofErr w:type="spellEnd"/>
      <w:r>
        <w:t>, Eisen(III)-</w:t>
      </w:r>
      <w:proofErr w:type="spellStart"/>
      <w:r>
        <w:t>chloridlösung</w:t>
      </w:r>
      <w:proofErr w:type="spellEnd"/>
      <w:r>
        <w:t xml:space="preserve">  </w:t>
      </w:r>
    </w:p>
    <w:p w:rsidR="005E5C45" w:rsidRDefault="005E5C45" w:rsidP="005E5C4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wird eine </w:t>
      </w:r>
      <w:proofErr w:type="spellStart"/>
      <w:r>
        <w:t>Spatelspitze</w:t>
      </w:r>
      <w:proofErr w:type="spellEnd"/>
      <w:r>
        <w:t xml:space="preserve"> Eisenchlorid in 10 </w:t>
      </w:r>
      <w:proofErr w:type="spellStart"/>
      <w:r>
        <w:t>mL</w:t>
      </w:r>
      <w:proofErr w:type="spellEnd"/>
      <w:r>
        <w:t xml:space="preserve"> Wasser in dem 100 </w:t>
      </w:r>
      <w:proofErr w:type="spellStart"/>
      <w:r>
        <w:t>mL</w:t>
      </w:r>
      <w:proofErr w:type="spellEnd"/>
      <w:r>
        <w:t xml:space="preserve"> Becherglas gelöst.  Die Farbe der Lösung wird protokolliert. In die Lösung wird 1 </w:t>
      </w:r>
      <w:proofErr w:type="spellStart"/>
      <w:r>
        <w:t>mL</w:t>
      </w:r>
      <w:proofErr w:type="spellEnd"/>
      <w:r>
        <w:t xml:space="preserve"> einer 0.1 M </w:t>
      </w:r>
      <w:proofErr w:type="spellStart"/>
      <w:r>
        <w:t>Ammoniumthiocyanat</w:t>
      </w:r>
      <w:proofErr w:type="spellEnd"/>
      <w:r>
        <w:t xml:space="preserve">-Lösung (4 g auf 100 </w:t>
      </w:r>
      <w:proofErr w:type="spellStart"/>
      <w:r>
        <w:t>mL</w:t>
      </w:r>
      <w:proofErr w:type="spellEnd"/>
      <w:r>
        <w:t>) g</w:t>
      </w:r>
      <w:r>
        <w:t>e</w:t>
      </w:r>
      <w:r>
        <w:t xml:space="preserve">geben. Die Lösung wird in das 1 L Becherglas umgefüllt, in dem die Lösung in 30 </w:t>
      </w:r>
      <w:proofErr w:type="spellStart"/>
      <w:r>
        <w:t>mL</w:t>
      </w:r>
      <w:proofErr w:type="spellEnd"/>
      <w:r>
        <w:t xml:space="preserve"> Schritten verdünnt wird, bis die rote Farbe verschwindet. Die ge</w:t>
      </w:r>
      <w:r>
        <w:t>l</w:t>
      </w:r>
      <w:r>
        <w:t>be Lösung wird in 3 Reagenzgläser gefüllt (je bis zur Hälfte). In das erste Reagenzglas wird Eisen(III)-</w:t>
      </w:r>
      <w:proofErr w:type="spellStart"/>
      <w:r>
        <w:t>chloridlösung</w:t>
      </w:r>
      <w:proofErr w:type="spellEnd"/>
      <w:r>
        <w:t xml:space="preserve"> hinzugegeben und in das zweite </w:t>
      </w:r>
      <w:proofErr w:type="spellStart"/>
      <w:r>
        <w:t>Ammoniumthiocyanat</w:t>
      </w:r>
      <w:proofErr w:type="spellEnd"/>
      <w:r>
        <w:t xml:space="preserve">-Lösung. Die Farbe der Lösungen wird mit der Farbe der  Lösung im dritten Reagenzglas verglichen. Die Beobachtungen werden protokolliert. </w:t>
      </w:r>
    </w:p>
    <w:tbl>
      <w:tblPr>
        <w:tblStyle w:val="Tabellengitternetz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</w:tblGrid>
      <w:tr w:rsidR="005E5C45" w:rsidTr="00C33915">
        <w:tc>
          <w:tcPr>
            <w:tcW w:w="7200" w:type="dxa"/>
          </w:tcPr>
          <w:p w:rsidR="005E5C45" w:rsidRDefault="005E5C45" w:rsidP="00C33915">
            <w:pPr>
              <w:keepNext/>
              <w:tabs>
                <w:tab w:val="left" w:pos="1701"/>
                <w:tab w:val="left" w:pos="1985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68205" cy="1246288"/>
                  <wp:effectExtent l="19050" t="0" r="3645" b="0"/>
                  <wp:docPr id="214" name="Bild 52" descr="D:\User\Jana\Göttingen - backup 28.07.2014\Master of Education\SVP\Protokolle\Protokoll 11&amp;12\Bilder11.12\DSC04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User\Jana\Göttingen - backup 28.07.2014\Master of Education\SVP\Protokolle\Protokoll 11&amp;12\Bilder11.12\DSC04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48" cy="124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C45" w:rsidRDefault="005E5C45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11</w:t>
              </w:r>
            </w:fldSimple>
            <w:r>
              <w:t>: Die angesetzten Lösungen von Eisen(III)-</w:t>
            </w:r>
            <w:proofErr w:type="spellStart"/>
            <w:r>
              <w:t>chlorid</w:t>
            </w:r>
            <w:proofErr w:type="spellEnd"/>
            <w:r>
              <w:t xml:space="preserve"> und </w:t>
            </w:r>
            <w:proofErr w:type="spellStart"/>
            <w:r>
              <w:t>Ammoniumthiocyanat</w:t>
            </w:r>
            <w:proofErr w:type="spellEnd"/>
            <w:r>
              <w:t xml:space="preserve"> (0.1M). </w:t>
            </w:r>
          </w:p>
        </w:tc>
      </w:tr>
    </w:tbl>
    <w:p w:rsidR="005E5C45" w:rsidRDefault="005E5C45" w:rsidP="005E5C45">
      <w:pPr>
        <w:tabs>
          <w:tab w:val="left" w:pos="1701"/>
          <w:tab w:val="left" w:pos="1985"/>
        </w:tabs>
        <w:ind w:left="1980" w:hanging="1980"/>
      </w:pPr>
    </w:p>
    <w:p w:rsidR="005E5C45" w:rsidRDefault="005E5C45" w:rsidP="005E5C4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Eisen(III)-</w:t>
      </w:r>
      <w:proofErr w:type="spellStart"/>
      <w:r>
        <w:t>chlorid</w:t>
      </w:r>
      <w:proofErr w:type="spellEnd"/>
      <w:r>
        <w:t xml:space="preserve">-Lösung ist gelb. Durch Zugabe von </w:t>
      </w:r>
      <w:proofErr w:type="spellStart"/>
      <w:r>
        <w:t>Ammoniumthiocyanat</w:t>
      </w:r>
      <w:proofErr w:type="spellEnd"/>
      <w:r>
        <w:t xml:space="preserve">-Lösung verfärbt sie sich rot-braun. Nach Zugabe von etwa 600 </w:t>
      </w:r>
      <w:proofErr w:type="spellStart"/>
      <w:r>
        <w:t>mL</w:t>
      </w:r>
      <w:proofErr w:type="spellEnd"/>
      <w:r>
        <w:t xml:space="preserve"> Wasser ist die Lösung wieder gelb. Bei weiterer Zugabe von </w:t>
      </w:r>
      <w:proofErr w:type="spellStart"/>
      <w:r>
        <w:t>Ammoniumthiocyanat</w:t>
      </w:r>
      <w:proofErr w:type="spellEnd"/>
      <w:r>
        <w:t xml:space="preserve"> sowie Eisen(III)-</w:t>
      </w:r>
      <w:proofErr w:type="spellStart"/>
      <w:r>
        <w:t>chlorid</w:t>
      </w:r>
      <w:proofErr w:type="spellEnd"/>
      <w:r>
        <w:t xml:space="preserve"> verfärbt sich die Lösung wieder rot-braun. </w:t>
      </w:r>
    </w:p>
    <w:tbl>
      <w:tblPr>
        <w:tblStyle w:val="Tabellengitternetz"/>
        <w:tblW w:w="7342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2"/>
      </w:tblGrid>
      <w:tr w:rsidR="005E5C45" w:rsidTr="00C33915">
        <w:tc>
          <w:tcPr>
            <w:tcW w:w="7342" w:type="dxa"/>
          </w:tcPr>
          <w:p w:rsidR="005E5C45" w:rsidRDefault="005E5C45" w:rsidP="00C33915">
            <w:pPr>
              <w:keepNext/>
              <w:tabs>
                <w:tab w:val="left" w:pos="1701"/>
                <w:tab w:val="left" w:pos="19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94104" cy="3729161"/>
                  <wp:effectExtent l="19050" t="0" r="1546" b="0"/>
                  <wp:docPr id="215" name="Bild 53" descr="D:\User\Jana\Göttingen - backup 28.07.2014\Master of Education\SVP\Protokolle\Protokoll 11&amp;12\Bilder11.12\DSC04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User\Jana\Göttingen - backup 28.07.2014\Master of Education\SVP\Protokolle\Protokoll 11&amp;12\Bilder11.12\DSC04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4258" t="14075" r="24949" b="9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104" cy="3729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C45" w:rsidRDefault="005E5C45" w:rsidP="00C33915">
            <w:pPr>
              <w:pStyle w:val="Beschriftung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12</w:t>
              </w:r>
            </w:fldSimple>
            <w:r>
              <w:t xml:space="preserve">: Die Lösung verfärbt sich wieder rot-braun bei Zugabe von </w:t>
            </w:r>
            <w:proofErr w:type="spellStart"/>
            <w:r>
              <w:t>Ammoniumthiocyanat</w:t>
            </w:r>
            <w:proofErr w:type="spellEnd"/>
            <w:r>
              <w:t xml:space="preserve"> (in der Mitte) und gelb-rötlich bei Zugabe von Eisen(III)-</w:t>
            </w:r>
            <w:proofErr w:type="spellStart"/>
            <w:r>
              <w:t>chlorid</w:t>
            </w:r>
            <w:proofErr w:type="spellEnd"/>
            <w:r>
              <w:t xml:space="preserve">. Rechts die Blindprobe. </w:t>
            </w:r>
          </w:p>
          <w:p w:rsidR="005E5C45" w:rsidRPr="007B2415" w:rsidRDefault="005E5C45" w:rsidP="00C33915"/>
        </w:tc>
      </w:tr>
    </w:tbl>
    <w:p w:rsidR="005E5C45" w:rsidRPr="00E50FA1" w:rsidRDefault="005E5C45" w:rsidP="005E5C45">
      <w:pPr>
        <w:tabs>
          <w:tab w:val="left" w:pos="1701"/>
          <w:tab w:val="left" w:pos="1985"/>
        </w:tabs>
        <w:ind w:left="1928" w:hanging="1928"/>
      </w:pPr>
      <w:r>
        <w:t>Deutung:</w:t>
      </w:r>
      <w:r>
        <w:tab/>
      </w:r>
      <w:r>
        <w:tab/>
        <w:t>Beim Lösen von Eisen(III)-</w:t>
      </w:r>
      <w:proofErr w:type="spellStart"/>
      <w:r>
        <w:t>chlorid</w:t>
      </w:r>
      <w:proofErr w:type="spellEnd"/>
      <w:r>
        <w:t xml:space="preserve"> in Wasser entstehen Eisen und Chlorid Ionen (Fe</w:t>
      </w:r>
      <w:r>
        <w:rPr>
          <w:vertAlign w:val="superscript"/>
        </w:rPr>
        <w:t>3+</w:t>
      </w:r>
      <w:r>
        <w:t xml:space="preserve"> und Cl</w:t>
      </w:r>
      <w:r>
        <w:rPr>
          <w:vertAlign w:val="superscript"/>
        </w:rPr>
        <w:t>-</w:t>
      </w:r>
      <w:r>
        <w:t xml:space="preserve">). Bei Zugabe von </w:t>
      </w:r>
      <w:proofErr w:type="spellStart"/>
      <w:r>
        <w:t>Ammoniumthiocyanat</w:t>
      </w:r>
      <w:proofErr w:type="spellEnd"/>
      <w:r>
        <w:t xml:space="preserve"> bildet sich </w:t>
      </w:r>
      <w:proofErr w:type="spellStart"/>
      <w:r w:rsidRPr="00910C1C">
        <w:rPr>
          <w:i/>
        </w:rPr>
        <w:t>Fe</w:t>
      </w:r>
      <w:proofErr w:type="spellEnd"/>
      <w:r w:rsidRPr="00910C1C">
        <w:rPr>
          <w:i/>
        </w:rPr>
        <w:t>(</w:t>
      </w:r>
      <w:r>
        <w:rPr>
          <w:i/>
        </w:rPr>
        <w:t>SCN</w:t>
      </w:r>
      <w:r w:rsidRPr="00910C1C">
        <w:rPr>
          <w:i/>
        </w:rPr>
        <w:t>)</w:t>
      </w:r>
      <w:r w:rsidRPr="00910C1C">
        <w:rPr>
          <w:i/>
          <w:vertAlign w:val="subscript"/>
        </w:rPr>
        <w:t>3 (</w:t>
      </w:r>
      <w:proofErr w:type="spellStart"/>
      <w:r w:rsidRPr="00910C1C">
        <w:rPr>
          <w:i/>
          <w:vertAlign w:val="subscript"/>
        </w:rPr>
        <w:t>aq</w:t>
      </w:r>
      <w:proofErr w:type="spellEnd"/>
      <w:r w:rsidRPr="00910C1C">
        <w:rPr>
          <w:i/>
          <w:vertAlign w:val="subscript"/>
        </w:rPr>
        <w:t>)</w:t>
      </w:r>
      <w:r>
        <w:rPr>
          <w:i/>
          <w:vertAlign w:val="subscript"/>
        </w:rPr>
        <w:t>.</w:t>
      </w:r>
      <w:r>
        <w:t xml:space="preserve"> </w:t>
      </w:r>
    </w:p>
    <w:p w:rsidR="005E5C45" w:rsidRDefault="005E5C45" w:rsidP="005E5C45">
      <w:pPr>
        <w:tabs>
          <w:tab w:val="left" w:pos="1701"/>
          <w:tab w:val="left" w:pos="1985"/>
        </w:tabs>
        <w:ind w:left="1928" w:hanging="1928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10C1C">
        <w:rPr>
          <w:i/>
        </w:rPr>
        <w:t>Fe</w:t>
      </w:r>
      <w:r w:rsidRPr="00910C1C">
        <w:rPr>
          <w:i/>
          <w:vertAlign w:val="superscript"/>
        </w:rPr>
        <w:t>3+</w:t>
      </w:r>
      <w:r w:rsidRPr="00910C1C">
        <w:rPr>
          <w:i/>
          <w:vertAlign w:val="subscript"/>
        </w:rPr>
        <w:t>(</w:t>
      </w:r>
      <w:proofErr w:type="spellStart"/>
      <w:r w:rsidRPr="00910C1C">
        <w:rPr>
          <w:i/>
          <w:vertAlign w:val="subscript"/>
        </w:rPr>
        <w:t>aq</w:t>
      </w:r>
      <w:proofErr w:type="spellEnd"/>
      <w:r w:rsidRPr="00910C1C">
        <w:rPr>
          <w:i/>
          <w:vertAlign w:val="subscript"/>
        </w:rPr>
        <w:t xml:space="preserve">) </w:t>
      </w:r>
      <w:r w:rsidRPr="00910C1C">
        <w:rPr>
          <w:i/>
        </w:rPr>
        <w:t xml:space="preserve">+ 3 </w:t>
      </w:r>
      <w:r>
        <w:rPr>
          <w:i/>
        </w:rPr>
        <w:t>SCN</w:t>
      </w:r>
      <w:r w:rsidRPr="00910C1C">
        <w:rPr>
          <w:i/>
          <w:vertAlign w:val="superscript"/>
        </w:rPr>
        <w:t>-</w:t>
      </w:r>
      <w:r w:rsidRPr="00910C1C">
        <w:rPr>
          <w:i/>
          <w:vertAlign w:val="subscript"/>
        </w:rPr>
        <w:t xml:space="preserve"> (</w:t>
      </w:r>
      <w:proofErr w:type="spellStart"/>
      <w:r w:rsidRPr="00910C1C">
        <w:rPr>
          <w:i/>
          <w:vertAlign w:val="subscript"/>
        </w:rPr>
        <w:t>aq</w:t>
      </w:r>
      <w:proofErr w:type="spellEnd"/>
      <w:r w:rsidRPr="00910C1C">
        <w:rPr>
          <w:i/>
          <w:vertAlign w:val="subscript"/>
        </w:rPr>
        <w:t xml:space="preserve">) </w:t>
      </w:r>
      <w:r w:rsidRPr="00026A1C">
        <w:t>⇌</w:t>
      </w:r>
      <w:r w:rsidRPr="00910C1C">
        <w:rPr>
          <w:i/>
          <w:vertAlign w:val="subscript"/>
        </w:rPr>
        <w:t xml:space="preserve"> </w:t>
      </w:r>
      <w:proofErr w:type="spellStart"/>
      <w:r w:rsidRPr="00910C1C">
        <w:rPr>
          <w:i/>
        </w:rPr>
        <w:t>Fe</w:t>
      </w:r>
      <w:proofErr w:type="spellEnd"/>
      <w:r w:rsidRPr="00910C1C">
        <w:rPr>
          <w:i/>
        </w:rPr>
        <w:t>(</w:t>
      </w:r>
      <w:r>
        <w:rPr>
          <w:i/>
        </w:rPr>
        <w:t>SCN</w:t>
      </w:r>
      <w:r w:rsidRPr="00910C1C">
        <w:rPr>
          <w:i/>
        </w:rPr>
        <w:t>)</w:t>
      </w:r>
      <w:r w:rsidRPr="00910C1C">
        <w:rPr>
          <w:i/>
          <w:vertAlign w:val="subscript"/>
        </w:rPr>
        <w:t>3 (</w:t>
      </w:r>
      <w:proofErr w:type="spellStart"/>
      <w:r w:rsidRPr="00910C1C">
        <w:rPr>
          <w:i/>
          <w:vertAlign w:val="subscript"/>
        </w:rPr>
        <w:t>aq</w:t>
      </w:r>
      <w:proofErr w:type="spellEnd"/>
      <w:r w:rsidRPr="00910C1C">
        <w:rPr>
          <w:i/>
          <w:vertAlign w:val="subscript"/>
        </w:rPr>
        <w:t>)</w:t>
      </w:r>
    </w:p>
    <w:p w:rsidR="005E5C45" w:rsidRDefault="005E5C45" w:rsidP="005E5C45">
      <w:pPr>
        <w:tabs>
          <w:tab w:val="left" w:pos="1701"/>
          <w:tab w:val="left" w:pos="1985"/>
        </w:tabs>
        <w:ind w:left="1928" w:hanging="1928"/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t xml:space="preserve">gelblich      farblos </w:t>
      </w:r>
      <w:r>
        <w:tab/>
        <w:t xml:space="preserve">     rot</w:t>
      </w:r>
    </w:p>
    <w:p w:rsidR="005E5C45" w:rsidRDefault="005E5C45" w:rsidP="005E5C45">
      <w:pPr>
        <w:tabs>
          <w:tab w:val="left" w:pos="1701"/>
          <w:tab w:val="left" w:pos="1985"/>
        </w:tabs>
        <w:ind w:left="1928" w:hanging="1928"/>
      </w:pPr>
      <w:r>
        <w:tab/>
      </w:r>
      <w:r>
        <w:tab/>
        <w:t>Durch die Zugabe von Wasser wird die Lösung wieder gelb auf Grund des Verdünnungseffekts. Bei Erhöhung der Konzentrationen der Edukte, Eisen(III)-</w:t>
      </w:r>
      <w:proofErr w:type="spellStart"/>
      <w:r>
        <w:t>chlorid</w:t>
      </w:r>
      <w:proofErr w:type="spellEnd"/>
      <w:r>
        <w:t xml:space="preserve"> oder </w:t>
      </w:r>
      <w:proofErr w:type="spellStart"/>
      <w:r>
        <w:t>Ammoniumthiocyanat</w:t>
      </w:r>
      <w:proofErr w:type="spellEnd"/>
      <w:r>
        <w:t>, wird das dynamische Gleic</w:t>
      </w:r>
      <w:r>
        <w:t>h</w:t>
      </w:r>
      <w:r>
        <w:t xml:space="preserve">gewicht gestört. Damit die Gleichgewichtskonstante, </w:t>
      </w:r>
      <w:proofErr w:type="spellStart"/>
      <w:proofErr w:type="gramStart"/>
      <w:r>
        <w:t>K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,</w:t>
      </w:r>
      <w:proofErr w:type="gramEnd"/>
      <w:r>
        <w:t xml:space="preserve"> wieder erreicht wird, reagiert das System, um alle Konzentrationen wieder anzupassen. Die Gleichgewichtskonstante für dieses Gleichgewicht wird folgend definiert:</w:t>
      </w:r>
    </w:p>
    <w:p w:rsidR="005E5C45" w:rsidRPr="008F6EEC" w:rsidRDefault="005E5C45" w:rsidP="005E5C45">
      <w:pPr>
        <w:tabs>
          <w:tab w:val="left" w:pos="1701"/>
          <w:tab w:val="left" w:pos="1985"/>
        </w:tabs>
        <w:ind w:left="1928" w:hanging="1928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c(Fe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SCN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c(F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3+</m:t>
                  </m:r>
                </m:sup>
              </m:sSup>
              <m:r>
                <w:rPr>
                  <w:rFonts w:ascii="Cambria Math" w:hAnsi="Cambria Math"/>
                </w:rPr>
                <m:t>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(SC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  <w:r>
        <w:br/>
      </w:r>
      <w:r>
        <w:t xml:space="preserve">Wenn demnach die Konzentration von einem der Edukte erhöht wird, muss auch die Konzentration des Produktes </w:t>
      </w:r>
      <w:proofErr w:type="spellStart"/>
      <w:r w:rsidRPr="00910C1C">
        <w:rPr>
          <w:i/>
        </w:rPr>
        <w:t>Fe</w:t>
      </w:r>
      <w:proofErr w:type="spellEnd"/>
      <w:r w:rsidRPr="00910C1C">
        <w:rPr>
          <w:i/>
        </w:rPr>
        <w:t>(</w:t>
      </w:r>
      <w:r>
        <w:rPr>
          <w:i/>
        </w:rPr>
        <w:t>SCN</w:t>
      </w:r>
      <w:r w:rsidRPr="00910C1C">
        <w:rPr>
          <w:i/>
        </w:rPr>
        <w:t>)</w:t>
      </w:r>
      <w:r w:rsidRPr="00910C1C">
        <w:rPr>
          <w:i/>
          <w:vertAlign w:val="subscript"/>
        </w:rPr>
        <w:t>3 (</w:t>
      </w:r>
      <w:proofErr w:type="spellStart"/>
      <w:r w:rsidRPr="00910C1C">
        <w:rPr>
          <w:i/>
          <w:vertAlign w:val="subscript"/>
        </w:rPr>
        <w:t>aq</w:t>
      </w:r>
      <w:proofErr w:type="spellEnd"/>
      <w:r w:rsidRPr="00910C1C">
        <w:rPr>
          <w:i/>
          <w:vertAlign w:val="subscript"/>
        </w:rPr>
        <w:t>)</w:t>
      </w:r>
      <w:r>
        <w:rPr>
          <w:i/>
          <w:vertAlign w:val="subscript"/>
        </w:rPr>
        <w:t xml:space="preserve"> </w:t>
      </w:r>
      <w:r>
        <w:t xml:space="preserve">erhöht werden, damit der Wert  </w:t>
      </w:r>
      <w:proofErr w:type="spellStart"/>
      <w:r>
        <w:t>K</w:t>
      </w:r>
      <w:r>
        <w:rPr>
          <w:vertAlign w:val="subscript"/>
        </w:rPr>
        <w:t>c</w:t>
      </w:r>
      <w:proofErr w:type="spellEnd"/>
      <w:r>
        <w:t xml:space="preserve"> konstant bleibt. Dies erklärt warum sich die Lösung nach Zug</w:t>
      </w:r>
      <w:r>
        <w:t>a</w:t>
      </w:r>
      <w:r>
        <w:t xml:space="preserve">be von Eisenionen und </w:t>
      </w:r>
      <w:proofErr w:type="spellStart"/>
      <w:r>
        <w:t>Thiocyanationen</w:t>
      </w:r>
      <w:proofErr w:type="spellEnd"/>
      <w:r>
        <w:t xml:space="preserve"> wieder braun-rot färbt. </w:t>
      </w:r>
    </w:p>
    <w:p w:rsidR="005E5C45" w:rsidRDefault="005E5C45" w:rsidP="005E5C45">
      <w:pPr>
        <w:tabs>
          <w:tab w:val="left" w:pos="1701"/>
          <w:tab w:val="left" w:pos="1985"/>
        </w:tabs>
        <w:ind w:left="1928" w:hanging="1928"/>
      </w:pPr>
      <w:r>
        <w:t>Entsorgung:</w:t>
      </w:r>
      <w:r>
        <w:tab/>
      </w:r>
      <w:r>
        <w:tab/>
        <w:t xml:space="preserve">Die Lösungen werden in den Schwermetallbehälter gegeben. </w:t>
      </w:r>
    </w:p>
    <w:p w:rsidR="005E5C45" w:rsidRDefault="005E5C45" w:rsidP="005E5C45">
      <w:pPr>
        <w:spacing w:line="276" w:lineRule="auto"/>
        <w:ind w:left="1985" w:hanging="1985"/>
      </w:pPr>
      <w:r>
        <w:t>Literatur:</w:t>
      </w:r>
      <w:r>
        <w:tab/>
        <w:t>[1] Skript für das Anorganisch Chemische Praktikum für Lehramtskandid</w:t>
      </w:r>
      <w:r>
        <w:t>a</w:t>
      </w:r>
      <w:r>
        <w:t xml:space="preserve">ten, Wintersemester 2012/2013, Universität Göttingen, S. 48.  </w:t>
      </w:r>
    </w:p>
    <w:p w:rsidR="005E5C45" w:rsidRDefault="005E5C45" w:rsidP="005E5C45">
      <w:pPr>
        <w:spacing w:line="276" w:lineRule="auto"/>
        <w:ind w:left="1985" w:hanging="5"/>
      </w:pPr>
      <w:r>
        <w:t xml:space="preserve">[2] K. Häusler et al., Experimente für den Chemieunterricht, </w:t>
      </w:r>
      <w:proofErr w:type="spellStart"/>
      <w:r>
        <w:t>Oldenbourg</w:t>
      </w:r>
      <w:proofErr w:type="spellEnd"/>
      <w:r>
        <w:t>, 2. Auflage, 1995,  S. 201.</w:t>
      </w:r>
    </w:p>
    <w:p w:rsidR="00E6534C" w:rsidRPr="005E5C45" w:rsidRDefault="005E5C45" w:rsidP="005E5C45">
      <w:r w:rsidRPr="00742B44">
        <w:pict>
          <v:shape id="_x0000_s1064" type="#_x0000_t202" style="width:462.45pt;height:106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 style="mso-next-textbox:#_x0000_s1064">
              <w:txbxContent>
                <w:p w:rsidR="005E5C45" w:rsidRPr="00CD03BD" w:rsidRDefault="005E5C45" w:rsidP="005E5C45">
                  <w:pPr>
                    <w:rPr>
                      <w:color w:val="1F497D"/>
                    </w:rPr>
                  </w:pPr>
                  <w:r w:rsidRPr="00C52CE0">
                    <w:rPr>
                      <w:b/>
                      <w:color w:val="auto"/>
                    </w:rPr>
                    <w:t>Unterrichtsanschlüsse</w:t>
                  </w:r>
                  <w:r>
                    <w:rPr>
                      <w:b/>
                      <w:color w:val="1F497D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Dieser Versuch kann in der Einheit chemisches Gleichgewicht oder Le </w:t>
                  </w:r>
                  <w:proofErr w:type="spellStart"/>
                  <w:r>
                    <w:rPr>
                      <w:color w:val="auto"/>
                    </w:rPr>
                    <w:t>Chatelier</w:t>
                  </w:r>
                  <w:proofErr w:type="spellEnd"/>
                  <w:r>
                    <w:rPr>
                      <w:color w:val="auto"/>
                    </w:rPr>
                    <w:t xml:space="preserve"> eingesetzt werden. Der Versuch kann gut von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durchgeführt werden, da er einfach und ungefährlich ist und auch sehr anschaulich. Durch die hohe Effektstärke mit den Farbve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änderungen zeigt er sehr deutlich, was für einen Effekt Veränderungen der Konzentrationen auf die Lage des Gleichgewichtes haben.  </w:t>
                  </w:r>
                </w:p>
              </w:txbxContent>
            </v:textbox>
            <w10:wrap type="none"/>
            <w10:anchorlock/>
          </v:shape>
        </w:pict>
      </w:r>
    </w:p>
    <w:sectPr w:rsidR="00E6534C" w:rsidRPr="005E5C45" w:rsidSect="00651503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B1" w:rsidRDefault="004814B1" w:rsidP="00EC3514">
      <w:pPr>
        <w:spacing w:after="0" w:line="240" w:lineRule="auto"/>
      </w:pPr>
      <w:r>
        <w:separator/>
      </w:r>
    </w:p>
  </w:endnote>
  <w:endnote w:type="continuationSeparator" w:id="0">
    <w:p w:rsidR="004814B1" w:rsidRDefault="004814B1" w:rsidP="00E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B1" w:rsidRDefault="004814B1" w:rsidP="00EC3514">
      <w:pPr>
        <w:spacing w:after="0" w:line="240" w:lineRule="auto"/>
      </w:pPr>
      <w:r>
        <w:separator/>
      </w:r>
    </w:p>
  </w:footnote>
  <w:footnote w:type="continuationSeparator" w:id="0">
    <w:p w:rsidR="004814B1" w:rsidRDefault="004814B1" w:rsidP="00EC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091"/>
      <w:docPartObj>
        <w:docPartGallery w:val="Page Numbers (Top of Page)"/>
        <w:docPartUnique/>
      </w:docPartObj>
    </w:sdtPr>
    <w:sdtContent>
      <w:p w:rsidR="00EC3514" w:rsidRDefault="00EC3514">
        <w:pPr>
          <w:pStyle w:val="Kopfzeile"/>
          <w:jc w:val="right"/>
        </w:pPr>
        <w:fldSimple w:instr=" PAGE   \* MERGEFORMAT ">
          <w:r w:rsidR="005E5C45">
            <w:rPr>
              <w:noProof/>
            </w:rPr>
            <w:t>1</w:t>
          </w:r>
        </w:fldSimple>
      </w:p>
    </w:sdtContent>
  </w:sdt>
  <w:p w:rsidR="00EC3514" w:rsidRDefault="00EC35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D18"/>
    <w:multiLevelType w:val="hybridMultilevel"/>
    <w:tmpl w:val="A1388732"/>
    <w:lvl w:ilvl="0" w:tplc="06A8D3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26FA"/>
    <w:multiLevelType w:val="hybridMultilevel"/>
    <w:tmpl w:val="D2C8D07E"/>
    <w:lvl w:ilvl="0" w:tplc="3822EEE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FA75DB"/>
    <w:multiLevelType w:val="hybridMultilevel"/>
    <w:tmpl w:val="80F4A1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D0BE2"/>
    <w:multiLevelType w:val="hybridMultilevel"/>
    <w:tmpl w:val="0350670A"/>
    <w:lvl w:ilvl="0" w:tplc="C1BE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909F2"/>
    <w:multiLevelType w:val="hybridMultilevel"/>
    <w:tmpl w:val="AA8EB04C"/>
    <w:lvl w:ilvl="0" w:tplc="A5901108">
      <w:start w:val="6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40216"/>
    <w:multiLevelType w:val="hybridMultilevel"/>
    <w:tmpl w:val="7974F1CC"/>
    <w:lvl w:ilvl="0" w:tplc="2F10C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7294C"/>
    <w:multiLevelType w:val="hybridMultilevel"/>
    <w:tmpl w:val="193C6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2180"/>
    <w:multiLevelType w:val="multilevel"/>
    <w:tmpl w:val="2FD0A76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FE2588A"/>
    <w:multiLevelType w:val="hybridMultilevel"/>
    <w:tmpl w:val="B3E2676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92F48"/>
    <w:multiLevelType w:val="hybridMultilevel"/>
    <w:tmpl w:val="47FAD580"/>
    <w:lvl w:ilvl="0" w:tplc="0FBE5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14520"/>
    <w:multiLevelType w:val="hybridMultilevel"/>
    <w:tmpl w:val="193C6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7592B"/>
    <w:multiLevelType w:val="multilevel"/>
    <w:tmpl w:val="3FDAE4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7829174E"/>
    <w:multiLevelType w:val="hybridMultilevel"/>
    <w:tmpl w:val="0350670A"/>
    <w:lvl w:ilvl="0" w:tplc="C1BE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7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3514"/>
    <w:rsid w:val="000875D3"/>
    <w:rsid w:val="001A42B4"/>
    <w:rsid w:val="003931B3"/>
    <w:rsid w:val="003F413F"/>
    <w:rsid w:val="00406444"/>
    <w:rsid w:val="004814B1"/>
    <w:rsid w:val="0049618C"/>
    <w:rsid w:val="005C1212"/>
    <w:rsid w:val="005E5C45"/>
    <w:rsid w:val="00601DD6"/>
    <w:rsid w:val="00651503"/>
    <w:rsid w:val="006B513F"/>
    <w:rsid w:val="00933D3F"/>
    <w:rsid w:val="009B496D"/>
    <w:rsid w:val="00A0189E"/>
    <w:rsid w:val="00A70E7C"/>
    <w:rsid w:val="00B415FA"/>
    <w:rsid w:val="00B5741E"/>
    <w:rsid w:val="00BF11A0"/>
    <w:rsid w:val="00D12B52"/>
    <w:rsid w:val="00D57F5D"/>
    <w:rsid w:val="00DE74CC"/>
    <w:rsid w:val="00E6534C"/>
    <w:rsid w:val="00EC3514"/>
    <w:rsid w:val="00F129CA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514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3514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3514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3514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3514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3514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3514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3514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3514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3514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3514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3514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3514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3514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3514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3514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3514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3514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3514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C3514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EC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514"/>
    <w:rPr>
      <w:rFonts w:ascii="Tahoma" w:eastAsia="Calibri" w:hAnsi="Tahoma" w:cs="Tahoma"/>
      <w:color w:val="1D1B1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514"/>
    <w:rPr>
      <w:rFonts w:ascii="Cambria" w:eastAsia="Calibri" w:hAnsi="Cambria" w:cs="Times New Roman"/>
      <w:color w:val="1D1B11"/>
    </w:rPr>
  </w:style>
  <w:style w:type="paragraph" w:styleId="Fuzeile">
    <w:name w:val="footer"/>
    <w:basedOn w:val="Standard"/>
    <w:link w:val="FuzeileZchn"/>
    <w:uiPriority w:val="99"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514"/>
    <w:rPr>
      <w:rFonts w:ascii="Cambria" w:eastAsia="Calibri" w:hAnsi="Cambria" w:cs="Times New Roman"/>
      <w:color w:val="1D1B11"/>
    </w:rPr>
  </w:style>
  <w:style w:type="character" w:styleId="Hyperlink">
    <w:name w:val="Hyperlink"/>
    <w:uiPriority w:val="99"/>
    <w:unhideWhenUsed/>
    <w:rsid w:val="006B51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F413F"/>
    <w:pPr>
      <w:spacing w:line="276" w:lineRule="auto"/>
      <w:ind w:left="720"/>
      <w:contextualSpacing/>
    </w:pPr>
    <w:rPr>
      <w:rFonts w:ascii="Calibri" w:hAnsi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41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413F"/>
    <w:rPr>
      <w:rFonts w:ascii="Cambria" w:eastAsia="Calibri" w:hAnsi="Cambria" w:cs="Times New Roman"/>
      <w:color w:val="1D1B1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413F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B4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2E45"/>
    <w:rsid w:val="00866A54"/>
    <w:rsid w:val="00A1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6F14AC2F57406BA9743569CDBE8769">
    <w:name w:val="D76F14AC2F57406BA9743569CDBE8769"/>
    <w:rsid w:val="00A12E45"/>
  </w:style>
  <w:style w:type="paragraph" w:customStyle="1" w:styleId="B50AD2416C3C4CBBA72732ADF843E1D4">
    <w:name w:val="B50AD2416C3C4CBBA72732ADF843E1D4"/>
    <w:rsid w:val="00A12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Pfefferle</dc:creator>
  <cp:lastModifiedBy>Jana Pfefferle</cp:lastModifiedBy>
  <cp:revision>2</cp:revision>
  <cp:lastPrinted>2014-08-26T19:40:00Z</cp:lastPrinted>
  <dcterms:created xsi:type="dcterms:W3CDTF">2014-08-26T19:40:00Z</dcterms:created>
  <dcterms:modified xsi:type="dcterms:W3CDTF">2014-08-26T19:40:00Z</dcterms:modified>
</cp:coreProperties>
</file>