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ED" w:rsidRDefault="00C43EED" w:rsidP="00C43EED">
      <w:pPr>
        <w:pStyle w:val="berschrift2"/>
        <w:numPr>
          <w:ilvl w:val="0"/>
          <w:numId w:val="0"/>
        </w:numPr>
        <w:ind w:left="576" w:hanging="576"/>
      </w:pPr>
      <w:bookmarkStart w:id="0" w:name="_Toc396466905"/>
      <w:r>
        <w:t>V</w:t>
      </w:r>
      <w:r>
        <w:t xml:space="preserve"> 3 – „Alltagsmetalle“ untersuchen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43EED" w:rsidRPr="009C5E28" w:rsidTr="00504FB7">
        <w:tc>
          <w:tcPr>
            <w:tcW w:w="9322" w:type="dxa"/>
            <w:gridSpan w:val="9"/>
            <w:shd w:val="clear" w:color="auto" w:fill="4F81BD"/>
            <w:vAlign w:val="center"/>
          </w:tcPr>
          <w:p w:rsidR="00C43EED" w:rsidRPr="009C5E28" w:rsidRDefault="00C43EED" w:rsidP="00504FB7">
            <w:pPr>
              <w:spacing w:after="0"/>
              <w:jc w:val="center"/>
              <w:rPr>
                <w:b/>
                <w:bCs/>
              </w:rPr>
            </w:pPr>
            <w:r>
              <w:tab/>
            </w:r>
            <w:r w:rsidRPr="009C5E28">
              <w:rPr>
                <w:b/>
                <w:bCs/>
              </w:rPr>
              <w:t>Gefahrenstoffe</w:t>
            </w:r>
          </w:p>
        </w:tc>
      </w:tr>
      <w:tr w:rsidR="00C43EED" w:rsidRPr="009C5E28" w:rsidTr="00504FB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143811" w:rsidRDefault="00C43EED" w:rsidP="00504FB7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C43EED" w:rsidRPr="009C5E28" w:rsidTr="00504FB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4FFBFEA" wp14:editId="52724AB3">
                  <wp:extent cx="504190" cy="504190"/>
                  <wp:effectExtent l="0" t="0" r="0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A894F0" wp14:editId="2F6681D9">
                  <wp:extent cx="504190" cy="504190"/>
                  <wp:effectExtent l="0" t="0" r="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902053" wp14:editId="5634D65C">
                  <wp:extent cx="504190" cy="504190"/>
                  <wp:effectExtent l="0" t="0" r="0" b="0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41068D4" wp14:editId="44926BF3">
                  <wp:extent cx="504190" cy="504190"/>
                  <wp:effectExtent l="0" t="0" r="0" b="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442870" wp14:editId="11D01E64">
                  <wp:extent cx="504190" cy="504190"/>
                  <wp:effectExtent l="0" t="0" r="0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2AA3AA" wp14:editId="16D59996">
                  <wp:extent cx="504190" cy="504190"/>
                  <wp:effectExtent l="0" t="0" r="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71C777" wp14:editId="76FDEE01">
                  <wp:extent cx="504190" cy="504190"/>
                  <wp:effectExtent l="0" t="0" r="0" b="0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A08B09" wp14:editId="580296AF">
                  <wp:extent cx="511175" cy="511175"/>
                  <wp:effectExtent l="0" t="0" r="3175" b="3175"/>
                  <wp:docPr id="100" name="Grafi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43EED" w:rsidRPr="009C5E28" w:rsidRDefault="00C43EED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5B9D2D" wp14:editId="33A9ACE0">
                  <wp:extent cx="504190" cy="504190"/>
                  <wp:effectExtent l="0" t="0" r="0" b="0"/>
                  <wp:docPr id="101" name="Grafi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EED" w:rsidRDefault="00C43EED" w:rsidP="00C43EED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2 Bechergläser (50 mL), Kabel mit Krokodilklemmen, Multimeter, Leich</w:t>
      </w:r>
      <w:r>
        <w:t>t</w:t>
      </w:r>
      <w:r>
        <w:t>laufmotor, Filterpapier</w:t>
      </w:r>
    </w:p>
    <w:p w:rsidR="00C43EED" w:rsidRPr="00ED07C2" w:rsidRDefault="00C43EED" w:rsidP="00C43EE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0C1D18A" wp14:editId="46906CA8">
            <wp:simplePos x="0" y="0"/>
            <wp:positionH relativeFrom="column">
              <wp:posOffset>4412615</wp:posOffset>
            </wp:positionH>
            <wp:positionV relativeFrom="paragraph">
              <wp:posOffset>537210</wp:posOffset>
            </wp:positionV>
            <wp:extent cx="1402715" cy="1627505"/>
            <wp:effectExtent l="0" t="0" r="6985" b="0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55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2715" cy="162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5347C" wp14:editId="35DB4F84">
                <wp:simplePos x="0" y="0"/>
                <wp:positionH relativeFrom="column">
                  <wp:posOffset>4412615</wp:posOffset>
                </wp:positionH>
                <wp:positionV relativeFrom="paragraph">
                  <wp:posOffset>2250440</wp:posOffset>
                </wp:positionV>
                <wp:extent cx="1402715" cy="635"/>
                <wp:effectExtent l="0" t="0" r="0" b="0"/>
                <wp:wrapSquare wrapText="bothSides"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EED" w:rsidRPr="00CA36D4" w:rsidRDefault="00C43EED" w:rsidP="00C43EED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6E4622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Aufbaue der beiden Halbzellen. Hier am Beispiel von dem Kupfe</w:t>
                            </w:r>
                            <w:r>
                              <w:t>r</w:t>
                            </w:r>
                            <w:r>
                              <w:t>blech mit dem Magnesiu</w:t>
                            </w:r>
                            <w:r>
                              <w:t>m</w:t>
                            </w:r>
                            <w:r>
                              <w:t>block.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9" o:spid="_x0000_s1026" type="#_x0000_t202" style="position:absolute;left:0;text-align:left;margin-left:347.45pt;margin-top:177.2pt;width:110.4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" stroked="f">
                <v:textbox style="mso-fit-shape-to-text:t" inset="0,0,0,0">
                  <w:txbxContent>
                    <w:p w:rsidR="00C43EED" w:rsidRPr="00CA36D4" w:rsidRDefault="00C43EED" w:rsidP="00C43EED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6E4622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Aufbaue der beiden Halbzellen. Hier am Beispiel von dem Kupfe</w:t>
                      </w:r>
                      <w:r>
                        <w:t>r</w:t>
                      </w:r>
                      <w:r>
                        <w:t>blech mit dem Magnesiu</w:t>
                      </w:r>
                      <w:r>
                        <w:t>m</w:t>
                      </w:r>
                      <w:r>
                        <w:t>block.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Chemikalien:</w:t>
      </w:r>
      <w:r>
        <w:tab/>
      </w:r>
      <w:r>
        <w:tab/>
        <w:t>Natriumchlorid-Lösung (1 M), Metallgegenstände (Teelichthülle, Kupfe</w:t>
      </w:r>
      <w:r>
        <w:t>r</w:t>
      </w:r>
      <w:r>
        <w:t>blech, Metallanspitzer)</w:t>
      </w:r>
    </w:p>
    <w:p w:rsidR="00C43EED" w:rsidRDefault="00C43EED" w:rsidP="00C43EED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 xml:space="preserve">Die zwei Bechergläser werden mit </w:t>
      </w:r>
      <w:r w:rsidRPr="007922B2">
        <w:t xml:space="preserve">etwa </w:t>
      </w:r>
      <w:r>
        <w:t>30 mL Natriumchlorid-Lösung gefüllt. Nun werden die Bechergläser mit einer Salzbrücke verbunden. Zwei der einzelnen Gegenstände werden in Kr</w:t>
      </w:r>
      <w:r>
        <w:t>o</w:t>
      </w:r>
      <w:r>
        <w:t>kodilklemmen gespannt und leitend verbunden. Anschließend werden sie in die Lösung getaucht und die Spannung gemessen. Hierbei ist zu beac</w:t>
      </w:r>
      <w:r>
        <w:t>h</w:t>
      </w:r>
      <w:r>
        <w:t>ten, dass die Krokodilklemmen nicht mit der Na</w:t>
      </w:r>
      <w:r>
        <w:t>t</w:t>
      </w:r>
      <w:r>
        <w:t>riumchlorid-Lösung in Berührung kommen.</w:t>
      </w:r>
    </w:p>
    <w:p w:rsidR="00C43EED" w:rsidRDefault="00C43EED" w:rsidP="00C43EED">
      <w:pPr>
        <w:tabs>
          <w:tab w:val="left" w:pos="1701"/>
          <w:tab w:val="left" w:pos="1985"/>
        </w:tabs>
        <w:spacing w:before="240"/>
        <w:ind w:left="1980" w:hanging="1980"/>
      </w:pPr>
      <w:r>
        <w:t>Beobachtung:</w:t>
      </w:r>
      <w:r>
        <w:tab/>
      </w:r>
      <w:r>
        <w:tab/>
        <w:t>Für die unterschiedlichen Metalle wurden ve</w:t>
      </w:r>
      <w:r>
        <w:t>r</w:t>
      </w:r>
      <w:r>
        <w:t xml:space="preserve">schiedene Spannungen gemessen (siehe </w:t>
      </w:r>
      <w:r>
        <w:fldChar w:fldCharType="begin"/>
      </w:r>
      <w:r>
        <w:instrText xml:space="preserve"> REF _Ref396468719 \h </w:instrText>
      </w:r>
      <w:r>
        <w:fldChar w:fldCharType="separate"/>
      </w:r>
      <w:r w:rsidR="006E4622">
        <w:t xml:space="preserve">Tabelle </w:t>
      </w:r>
      <w:r w:rsidR="006E4622">
        <w:rPr>
          <w:noProof/>
        </w:rPr>
        <w:t>1</w:t>
      </w:r>
      <w:r>
        <w:fldChar w:fldCharType="end"/>
      </w:r>
      <w:r>
        <w:t>).</w:t>
      </w:r>
    </w:p>
    <w:p w:rsidR="00C43EED" w:rsidRDefault="00C43EED" w:rsidP="00C43EED">
      <w:pPr>
        <w:pStyle w:val="Beschriftung"/>
        <w:keepNext/>
      </w:pPr>
      <w:bookmarkStart w:id="1" w:name="_Ref396468719"/>
      <w:bookmarkStart w:id="2" w:name="_GoBack"/>
      <w:bookmarkEnd w:id="2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6E4622">
        <w:rPr>
          <w:noProof/>
        </w:rPr>
        <w:t>1</w:t>
      </w:r>
      <w:r>
        <w:rPr>
          <w:noProof/>
        </w:rPr>
        <w:fldChar w:fldCharType="end"/>
      </w:r>
      <w:bookmarkEnd w:id="1"/>
      <w:r>
        <w:t>: Gemessene Spannung der verschiedenen Halbzellen zueinander.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1701"/>
      </w:tblGrid>
      <w:tr w:rsidR="00C43EED" w:rsidTr="00504FB7">
        <w:tc>
          <w:tcPr>
            <w:tcW w:w="3936" w:type="dxa"/>
            <w:shd w:val="clear" w:color="auto" w:fill="BFBFBF" w:themeFill="background1" w:themeFillShade="BF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Elektronenabgebende Halbzelle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Elektronenaufnehmende Halbzelle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Spannung in V</w:t>
            </w:r>
          </w:p>
        </w:tc>
      </w:tr>
      <w:tr w:rsidR="00C43EED" w:rsidTr="00504FB7">
        <w:tc>
          <w:tcPr>
            <w:tcW w:w="3936" w:type="dxa"/>
          </w:tcPr>
          <w:p w:rsidR="00C43EED" w:rsidRPr="0053144D" w:rsidRDefault="00C43EED" w:rsidP="00504FB7">
            <w:pPr>
              <w:tabs>
                <w:tab w:val="left" w:pos="1701"/>
                <w:tab w:val="left" w:pos="1985"/>
              </w:tabs>
              <w:spacing w:before="240"/>
              <w:rPr>
                <w:vertAlign w:val="subscript"/>
              </w:rPr>
            </w:pPr>
            <w:r>
              <w:t>Magnesiumblock des Metallanspitzers /NaCl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3543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Kupferblech/NaCl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1701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1,130</w:t>
            </w:r>
          </w:p>
        </w:tc>
      </w:tr>
      <w:tr w:rsidR="00C43EED" w:rsidTr="00504FB7">
        <w:tc>
          <w:tcPr>
            <w:tcW w:w="3936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Magnesiumblock des Metallanspitzers /NaCl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3543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Stahlklinge des Metallanspitzers /NaCl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1701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0,935</w:t>
            </w:r>
          </w:p>
        </w:tc>
      </w:tr>
      <w:tr w:rsidR="00C43EED" w:rsidTr="00504FB7">
        <w:tc>
          <w:tcPr>
            <w:tcW w:w="3936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Teelichthülle (Aluminium)/NaCl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3543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Kupferblech/NaCl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1701" w:type="dxa"/>
          </w:tcPr>
          <w:p w:rsidR="00C43EED" w:rsidRDefault="00C43EED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1,011</w:t>
            </w:r>
          </w:p>
        </w:tc>
      </w:tr>
    </w:tbl>
    <w:p w:rsidR="00C43EED" w:rsidRDefault="00C43EED" w:rsidP="00C43EED">
      <w:pPr>
        <w:tabs>
          <w:tab w:val="left" w:pos="1701"/>
          <w:tab w:val="left" w:pos="1985"/>
        </w:tabs>
        <w:spacing w:before="240"/>
        <w:ind w:left="1980" w:hanging="1980"/>
      </w:pPr>
      <w:r>
        <w:lastRenderedPageBreak/>
        <w:t>Deutung:</w:t>
      </w:r>
      <w:r>
        <w:tab/>
      </w:r>
      <w:r>
        <w:tab/>
        <w:t>Es kann festgestellt werden, dass manche Alltagsmetalle bevorzugt Elek</w:t>
      </w:r>
      <w:r>
        <w:t>t</w:t>
      </w:r>
      <w:r>
        <w:t>ronen aufnehmen beziehungsweise abgeben. Dabei wird chemische Ene</w:t>
      </w:r>
      <w:r>
        <w:t>r</w:t>
      </w:r>
      <w:r>
        <w:t>gie in elektrische Energie umgewandelt. Hierbei führt die Kombination u</w:t>
      </w:r>
      <w:r>
        <w:t>n</w:t>
      </w:r>
      <w:r>
        <w:t xml:space="preserve">terschiedlicher Halbzellen zu verschiedenen Werten der Spannung. </w:t>
      </w:r>
      <w:r>
        <w:tab/>
      </w:r>
      <w:r>
        <w:tab/>
        <w:t>Für die elektronenabgebenden Halbzellen gilt folgenden Oxidation.</w:t>
      </w:r>
    </w:p>
    <w:p w:rsidR="00C43EED" w:rsidRPr="00A91FA0" w:rsidRDefault="00C43EED" w:rsidP="00C43EED">
      <w:pPr>
        <w:tabs>
          <w:tab w:val="left" w:pos="1701"/>
          <w:tab w:val="left" w:pos="1985"/>
        </w:tabs>
        <w:spacing w:before="240"/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Mg→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Mg</m:t>
              </m:r>
            </m:e>
            <m:sup>
              <m:r>
                <w:rPr>
                  <w:rFonts w:ascii="Cambria Math" w:hAnsi="Cambria Math"/>
                </w:rPr>
                <m:t>2+</m:t>
              </m:r>
            </m:sup>
          </m:sSup>
          <m:r>
            <w:rPr>
              <w:rFonts w:ascii="Cambria Math" w:hAnsi="Cambria Math"/>
            </w:rPr>
            <m:t xml:space="preserve">+2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C43EED" w:rsidRDefault="00C43EED" w:rsidP="00C43EED">
      <w:pPr>
        <w:tabs>
          <w:tab w:val="left" w:pos="1701"/>
          <w:tab w:val="left" w:pos="1985"/>
        </w:tabs>
        <w:spacing w:before="240"/>
        <w:ind w:left="1980" w:hanging="1980"/>
      </w:pPr>
      <m:oMathPara>
        <m:oMath>
          <m:r>
            <w:rPr>
              <w:rFonts w:ascii="Cambria Math" w:hAnsi="Cambria Math"/>
            </w:rPr>
            <m:t>Al→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Al</m:t>
              </m:r>
            </m:e>
            <m:sup>
              <m:r>
                <w:rPr>
                  <w:rFonts w:ascii="Cambria Math" w:hAnsi="Cambria Math"/>
                </w:rPr>
                <m:t>3+</m:t>
              </m:r>
            </m:sup>
          </m:sSup>
          <m:r>
            <w:rPr>
              <w:rFonts w:ascii="Cambria Math" w:hAnsi="Cambria Math"/>
            </w:rPr>
            <m:t xml:space="preserve">+3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C43EED" w:rsidRDefault="00C43EED" w:rsidP="00C43EED">
      <w:pPr>
        <w:spacing w:line="276" w:lineRule="auto"/>
        <w:ind w:left="1985" w:firstLine="6"/>
      </w:pPr>
      <w:r>
        <w:t>Für die elektronenaufnehmende Halbzelle gilt, dass die edlen Metalle ledi</w:t>
      </w:r>
      <w:r>
        <w:t>g</w:t>
      </w:r>
      <w:r>
        <w:t>lich als Ableitelektrode dienen und der Sauerstoff reduziert wird.</w:t>
      </w:r>
    </w:p>
    <w:p w:rsidR="00C43EED" w:rsidRPr="00BA61D4" w:rsidRDefault="00C43EED" w:rsidP="00C43EED">
      <w:pPr>
        <w:spacing w:before="240" w:line="276" w:lineRule="auto"/>
        <w:ind w:left="1985" w:hanging="1985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+ 2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O + 4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→</m:t>
          </m:r>
          <m:r>
            <w:rPr>
              <w:rFonts w:ascii="Cambria Math" w:eastAsiaTheme="minorEastAsia" w:hAnsi="Cambria Math"/>
            </w:rPr>
            <m:t xml:space="preserve">4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OH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:rsidR="00C43EED" w:rsidRDefault="00C43EED" w:rsidP="00C43EED">
      <w:pPr>
        <w:spacing w:before="240" w:line="276" w:lineRule="auto"/>
        <w:ind w:left="1985" w:hanging="1985"/>
      </w:pPr>
      <w:r>
        <w:tab/>
        <w:t>Die Gesamtgleichungen lauten:</w:t>
      </w:r>
    </w:p>
    <w:p w:rsidR="00C43EED" w:rsidRPr="000C33D1" w:rsidRDefault="00C43EED" w:rsidP="00C43EED">
      <w:pPr>
        <w:spacing w:before="240" w:line="276" w:lineRule="auto"/>
        <w:ind w:left="1985" w:hanging="1985"/>
      </w:pPr>
      <m:oMathPara>
        <m:oMath>
          <m:r>
            <w:rPr>
              <w:rFonts w:ascii="Cambria Math" w:hAnsi="Cambria Math"/>
            </w:rPr>
            <m:t>2 Mg</m:t>
          </m:r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+ 2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r>
                <w:rPr>
                  <w:rFonts w:ascii="Cambria Math" w:hAnsi="Cambria Math"/>
                </w:rPr>
                <m:t>Mg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+ 4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:rsidR="00C43EED" w:rsidRDefault="00C43EED" w:rsidP="00C43EED">
      <w:pPr>
        <w:tabs>
          <w:tab w:val="left" w:pos="1167"/>
        </w:tabs>
        <w:spacing w:before="240" w:line="276" w:lineRule="auto"/>
        <w:ind w:left="1985" w:hanging="1985"/>
      </w:pPr>
      <m:oMathPara>
        <m:oMath>
          <m:r>
            <w:rPr>
              <w:rFonts w:ascii="Cambria Math" w:hAnsi="Cambria Math"/>
            </w:rPr>
            <m:t xml:space="preserve">4 Al + 3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+ 6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 Al</m:t>
              </m:r>
            </m:e>
            <m:sup>
              <m:r>
                <w:rPr>
                  <w:rFonts w:ascii="Cambria Math" w:hAnsi="Cambria Math"/>
                </w:rPr>
                <m:t>3+</m:t>
              </m:r>
            </m:sup>
          </m:sSup>
          <m:r>
            <w:rPr>
              <w:rFonts w:ascii="Cambria Math" w:eastAsiaTheme="minorEastAsia" w:hAnsi="Cambria Math"/>
            </w:rPr>
            <m:t xml:space="preserve"> + 12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OH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:rsidR="00C43EED" w:rsidRDefault="00C43EED" w:rsidP="00C43EED">
      <w:pPr>
        <w:spacing w:line="276" w:lineRule="auto"/>
        <w:ind w:left="1985" w:hanging="1985"/>
      </w:pPr>
      <w:r>
        <w:t>Entsorgung:</w:t>
      </w:r>
      <w:r>
        <w:tab/>
        <w:t>Die Flüssigkeit muss in den Schwermetall-Abfallbehälter überführt werden.</w:t>
      </w:r>
    </w:p>
    <w:p w:rsidR="00C43EED" w:rsidRDefault="00C43EED" w:rsidP="00C43EED">
      <w:pPr>
        <w:ind w:left="1985" w:hanging="1985"/>
        <w:rPr>
          <w:color w:val="auto"/>
        </w:rPr>
      </w:pPr>
      <w:r w:rsidRPr="006C5863">
        <w:rPr>
          <w:color w:val="auto"/>
        </w:rPr>
        <w:t>Literatur:</w:t>
      </w:r>
      <w:r>
        <w:rPr>
          <w:color w:val="auto"/>
        </w:rPr>
        <w:tab/>
      </w:r>
      <w:r w:rsidRPr="00BA61D4">
        <w:rPr>
          <w:color w:val="auto"/>
        </w:rPr>
        <w:t>http://www.chemiedidaktik.uni-jena.de/chedidmedia/Federtasche.pdf</w:t>
      </w:r>
      <w:r>
        <w:rPr>
          <w:color w:val="auto"/>
        </w:rPr>
        <w:t xml:space="preserve"> (Zuletzt abgerufen am 22.08.2014 um 00:07 Uhr).</w:t>
      </w:r>
    </w:p>
    <w:p w:rsidR="00C43EED" w:rsidRDefault="00C43EED" w:rsidP="00C43EED">
      <w:pPr>
        <w:spacing w:after="0"/>
        <w:ind w:left="1985"/>
        <w:rPr>
          <w:color w:val="auto"/>
        </w:rPr>
      </w:pPr>
      <w:r>
        <w:rPr>
          <w:color w:val="auto"/>
        </w:rPr>
        <w:t xml:space="preserve">A. Witt, A. Flint, </w:t>
      </w:r>
      <w:r w:rsidRPr="00104E58">
        <w:rPr>
          <w:color w:val="auto"/>
        </w:rPr>
        <w:t>http://www.didaktik.chemie.uni-rostock.de/fileadmin/</w:t>
      </w:r>
      <w:r>
        <w:rPr>
          <w:color w:val="auto"/>
        </w:rPr>
        <w:t xml:space="preserve"> </w:t>
      </w:r>
      <w:proofErr w:type="spellStart"/>
      <w:r w:rsidRPr="00104E58">
        <w:rPr>
          <w:color w:val="auto"/>
        </w:rPr>
        <w:t>MathNat_Chemie_Didaktik</w:t>
      </w:r>
      <w:proofErr w:type="spellEnd"/>
      <w:r w:rsidRPr="00104E58">
        <w:rPr>
          <w:color w:val="auto"/>
        </w:rPr>
        <w:t>/Downloads/Elektrochemie2.pdfeine</w:t>
      </w:r>
      <w:r>
        <w:rPr>
          <w:color w:val="auto"/>
        </w:rPr>
        <w:t xml:space="preserve">, 2013 </w:t>
      </w:r>
    </w:p>
    <w:p w:rsidR="00C43EED" w:rsidRDefault="00C43EED" w:rsidP="00C43EED">
      <w:pPr>
        <w:ind w:left="1985"/>
        <w:rPr>
          <w:color w:val="auto"/>
        </w:rPr>
      </w:pPr>
      <w:r>
        <w:rPr>
          <w:color w:val="auto"/>
        </w:rPr>
        <w:t>(Zuletzt abgerufen am 22.08.2014 um 00:10 Uhr).</w:t>
      </w:r>
    </w:p>
    <w:p w:rsidR="00A97FD0" w:rsidRDefault="00A97FD0"/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ED"/>
    <w:rsid w:val="00047CAF"/>
    <w:rsid w:val="00152CE4"/>
    <w:rsid w:val="006E4622"/>
    <w:rsid w:val="00767BC8"/>
    <w:rsid w:val="008371B2"/>
    <w:rsid w:val="00A97FD0"/>
    <w:rsid w:val="00AF3D99"/>
    <w:rsid w:val="00C43EED"/>
    <w:rsid w:val="00D8371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EE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EE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3EE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3EE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3E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3E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3E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3E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3E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3E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43EE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3EE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3EE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3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3E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3E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3E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3E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3E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43EED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C4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EE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EE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EE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3EE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3EE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3E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3E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3E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3E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3E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3E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43EE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3EE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3EE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3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3E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3E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3E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3E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3E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43EED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C4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EE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2</cp:revision>
  <cp:lastPrinted>2014-08-26T23:05:00Z</cp:lastPrinted>
  <dcterms:created xsi:type="dcterms:W3CDTF">2014-08-26T23:04:00Z</dcterms:created>
  <dcterms:modified xsi:type="dcterms:W3CDTF">2014-08-26T23:06:00Z</dcterms:modified>
</cp:coreProperties>
</file>