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3EF" w:rsidRDefault="00E833EF" w:rsidP="00E833EF">
      <w:pPr>
        <w:tabs>
          <w:tab w:val="left" w:pos="1701"/>
          <w:tab w:val="left" w:pos="1985"/>
        </w:tabs>
        <w:rPr>
          <w:b/>
          <w:sz w:val="28"/>
        </w:rPr>
      </w:pPr>
      <w:r>
        <w:rPr>
          <w:b/>
          <w:sz w:val="28"/>
        </w:rPr>
        <w:t>„Alltagsmetalle“ untersuchen</w:t>
      </w:r>
    </w:p>
    <w:p w:rsidR="00E833EF" w:rsidRDefault="00E833EF" w:rsidP="00E833EF">
      <w:pPr>
        <w:tabs>
          <w:tab w:val="left" w:pos="1701"/>
          <w:tab w:val="left" w:pos="1985"/>
        </w:tabs>
        <w:spacing w:before="240"/>
        <w:ind w:left="1980" w:hanging="1980"/>
      </w:pPr>
      <w:r>
        <w:t xml:space="preserve">Materialien: </w:t>
      </w:r>
      <w:r>
        <w:tab/>
      </w:r>
      <w:r>
        <w:tab/>
        <w:t>2 Bechergläser (50 mL), Kabel mit Krokodilklemmen, Multimeter, Leich</w:t>
      </w:r>
      <w:r>
        <w:t>t</w:t>
      </w:r>
      <w:r>
        <w:t>laufmotor, Filterpapier</w:t>
      </w:r>
    </w:p>
    <w:p w:rsidR="00E833EF" w:rsidRPr="00ED07C2" w:rsidRDefault="00E833EF" w:rsidP="00E833EF">
      <w:pPr>
        <w:tabs>
          <w:tab w:val="left" w:pos="1701"/>
          <w:tab w:val="left" w:pos="1985"/>
        </w:tabs>
        <w:ind w:left="1980" w:hanging="198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AADB74" wp14:editId="66B1E0C8">
                <wp:simplePos x="0" y="0"/>
                <wp:positionH relativeFrom="column">
                  <wp:posOffset>-44772</wp:posOffset>
                </wp:positionH>
                <wp:positionV relativeFrom="paragraph">
                  <wp:posOffset>308832</wp:posOffset>
                </wp:positionV>
                <wp:extent cx="6210300" cy="3811979"/>
                <wp:effectExtent l="0" t="0" r="19050" b="17145"/>
                <wp:wrapNone/>
                <wp:docPr id="37" name="Rechteck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38119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4F81B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37" o:spid="_x0000_s1026" style="position:absolute;margin-left:-3.55pt;margin-top:24.3pt;width:489pt;height:30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" strokecolor="#4f81bd" strokeweight="1pt">
                <v:stroke dashstyle="dash"/>
                <v:shadow color="#868686"/>
              </v:rect>
            </w:pict>
          </mc:Fallback>
        </mc:AlternateContent>
      </w:r>
      <w:r>
        <w:t>Chemikalien:</w:t>
      </w:r>
      <w:r>
        <w:tab/>
      </w:r>
      <w:r>
        <w:tab/>
        <w:t xml:space="preserve">Natriumchlorid-Lösung (1 M), Metallgegenstände </w:t>
      </w:r>
    </w:p>
    <w:p w:rsidR="00E833EF" w:rsidRDefault="00E833EF" w:rsidP="00E833EF">
      <w:pPr>
        <w:tabs>
          <w:tab w:val="left" w:pos="1701"/>
          <w:tab w:val="left" w:pos="1985"/>
        </w:tabs>
        <w:spacing w:after="0"/>
        <w:ind w:left="1980" w:hanging="1980"/>
      </w:pPr>
      <w:r>
        <w:t xml:space="preserve">Durchführung: </w:t>
      </w:r>
      <w:r>
        <w:tab/>
      </w:r>
      <w:r>
        <w:tab/>
        <w:t xml:space="preserve">Die zwei Bechergläser werden mit etwa 30 mL Natriumchlorid-Lösung gefüllt. Nun werden die Bechergläser mit einer Salzbrücke verbunden. Suche dir als </w:t>
      </w:r>
      <w:proofErr w:type="gramStart"/>
      <w:r>
        <w:t>nächstes drei verschiedene</w:t>
      </w:r>
      <w:proofErr w:type="gramEnd"/>
      <w:r>
        <w:t xml:space="preserve"> Alltagsmetalle aus. Zwei der einze</w:t>
      </w:r>
      <w:r>
        <w:t>l</w:t>
      </w:r>
      <w:r>
        <w:t>nen Gegenstände werden in Krokodilklemmen gespannt und leitend ve</w:t>
      </w:r>
      <w:r>
        <w:t>r</w:t>
      </w:r>
      <w:r>
        <w:t>bunden. Anschließend werden sie in die Lösung getaucht und die Spannung gemessen. Hierbei ist zu beachten, dass die Krokodilklemmen nicht mit der Natriumchlorid-Lösung in Berührung kommen.</w:t>
      </w:r>
    </w:p>
    <w:p w:rsidR="00E833EF" w:rsidRDefault="00E833EF" w:rsidP="00E833EF">
      <w:pPr>
        <w:tabs>
          <w:tab w:val="left" w:pos="1701"/>
          <w:tab w:val="left" w:pos="1985"/>
        </w:tabs>
        <w:spacing w:after="0"/>
        <w:ind w:left="1980" w:hanging="1980"/>
      </w:pPr>
      <w:r>
        <w:t>Beobachtung:</w:t>
      </w:r>
      <w:r>
        <w:tab/>
      </w:r>
    </w:p>
    <w:tbl>
      <w:tblPr>
        <w:tblStyle w:val="Tabellenraster"/>
        <w:tblW w:w="9180" w:type="dxa"/>
        <w:tblInd w:w="392" w:type="dxa"/>
        <w:tblLook w:val="04A0" w:firstRow="1" w:lastRow="0" w:firstColumn="1" w:lastColumn="0" w:noHBand="0" w:noVBand="1"/>
      </w:tblPr>
      <w:tblGrid>
        <w:gridCol w:w="3936"/>
        <w:gridCol w:w="3543"/>
        <w:gridCol w:w="1701"/>
      </w:tblGrid>
      <w:tr w:rsidR="00E833EF" w:rsidTr="00504FB7">
        <w:tc>
          <w:tcPr>
            <w:tcW w:w="3936" w:type="dxa"/>
            <w:shd w:val="clear" w:color="auto" w:fill="BFBFBF" w:themeFill="background1" w:themeFillShade="BF"/>
          </w:tcPr>
          <w:p w:rsidR="00E833EF" w:rsidRDefault="00E833EF" w:rsidP="00504FB7">
            <w:pPr>
              <w:tabs>
                <w:tab w:val="left" w:pos="1701"/>
                <w:tab w:val="left" w:pos="1985"/>
              </w:tabs>
              <w:spacing w:before="240"/>
            </w:pPr>
            <w:r>
              <w:t>Elektronenabgebende Halbzelle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:rsidR="00E833EF" w:rsidRDefault="00E833EF" w:rsidP="00504FB7">
            <w:pPr>
              <w:tabs>
                <w:tab w:val="left" w:pos="1701"/>
                <w:tab w:val="left" w:pos="1985"/>
              </w:tabs>
              <w:spacing w:before="240"/>
            </w:pPr>
            <w:r>
              <w:t>Elektronenaufnehmende Halbzelle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E833EF" w:rsidRDefault="00E833EF" w:rsidP="00504FB7">
            <w:pPr>
              <w:tabs>
                <w:tab w:val="left" w:pos="1701"/>
                <w:tab w:val="left" w:pos="1985"/>
              </w:tabs>
              <w:spacing w:before="240"/>
            </w:pPr>
            <w:r>
              <w:t>Spannung in V</w:t>
            </w:r>
          </w:p>
        </w:tc>
      </w:tr>
      <w:tr w:rsidR="00E833EF" w:rsidTr="00504FB7">
        <w:tc>
          <w:tcPr>
            <w:tcW w:w="3936" w:type="dxa"/>
          </w:tcPr>
          <w:p w:rsidR="00E833EF" w:rsidRPr="0053144D" w:rsidRDefault="00E833EF" w:rsidP="00504FB7">
            <w:pPr>
              <w:tabs>
                <w:tab w:val="left" w:pos="1701"/>
                <w:tab w:val="left" w:pos="1985"/>
              </w:tabs>
              <w:spacing w:before="240"/>
              <w:rPr>
                <w:vertAlign w:val="subscript"/>
              </w:rPr>
            </w:pPr>
          </w:p>
        </w:tc>
        <w:tc>
          <w:tcPr>
            <w:tcW w:w="3543" w:type="dxa"/>
          </w:tcPr>
          <w:p w:rsidR="00E833EF" w:rsidRDefault="00E833EF" w:rsidP="00504FB7">
            <w:pPr>
              <w:tabs>
                <w:tab w:val="left" w:pos="1701"/>
                <w:tab w:val="left" w:pos="1985"/>
              </w:tabs>
              <w:spacing w:before="240"/>
            </w:pPr>
          </w:p>
        </w:tc>
        <w:tc>
          <w:tcPr>
            <w:tcW w:w="1701" w:type="dxa"/>
          </w:tcPr>
          <w:p w:rsidR="00E833EF" w:rsidRDefault="00E833EF" w:rsidP="00504FB7">
            <w:pPr>
              <w:tabs>
                <w:tab w:val="left" w:pos="1701"/>
                <w:tab w:val="left" w:pos="1985"/>
              </w:tabs>
              <w:spacing w:before="240"/>
            </w:pPr>
          </w:p>
        </w:tc>
      </w:tr>
      <w:tr w:rsidR="00E833EF" w:rsidTr="00504FB7">
        <w:tc>
          <w:tcPr>
            <w:tcW w:w="3936" w:type="dxa"/>
          </w:tcPr>
          <w:p w:rsidR="00E833EF" w:rsidRDefault="00E833EF" w:rsidP="00504FB7">
            <w:pPr>
              <w:tabs>
                <w:tab w:val="left" w:pos="1701"/>
                <w:tab w:val="left" w:pos="1985"/>
              </w:tabs>
              <w:spacing w:before="240"/>
            </w:pPr>
          </w:p>
        </w:tc>
        <w:tc>
          <w:tcPr>
            <w:tcW w:w="3543" w:type="dxa"/>
          </w:tcPr>
          <w:p w:rsidR="00E833EF" w:rsidRDefault="00E833EF" w:rsidP="00504FB7">
            <w:pPr>
              <w:tabs>
                <w:tab w:val="left" w:pos="1701"/>
                <w:tab w:val="left" w:pos="1985"/>
              </w:tabs>
              <w:spacing w:before="240"/>
            </w:pPr>
          </w:p>
        </w:tc>
        <w:tc>
          <w:tcPr>
            <w:tcW w:w="1701" w:type="dxa"/>
          </w:tcPr>
          <w:p w:rsidR="00E833EF" w:rsidRDefault="00E833EF" w:rsidP="00504FB7">
            <w:pPr>
              <w:tabs>
                <w:tab w:val="left" w:pos="1701"/>
                <w:tab w:val="left" w:pos="1985"/>
              </w:tabs>
              <w:spacing w:before="240"/>
            </w:pPr>
          </w:p>
        </w:tc>
      </w:tr>
      <w:tr w:rsidR="00E833EF" w:rsidTr="00504FB7">
        <w:tc>
          <w:tcPr>
            <w:tcW w:w="3936" w:type="dxa"/>
          </w:tcPr>
          <w:p w:rsidR="00E833EF" w:rsidRDefault="00E833EF" w:rsidP="00504FB7">
            <w:pPr>
              <w:tabs>
                <w:tab w:val="left" w:pos="1701"/>
                <w:tab w:val="left" w:pos="1985"/>
              </w:tabs>
              <w:spacing w:before="240"/>
            </w:pPr>
          </w:p>
        </w:tc>
        <w:tc>
          <w:tcPr>
            <w:tcW w:w="3543" w:type="dxa"/>
          </w:tcPr>
          <w:p w:rsidR="00E833EF" w:rsidRDefault="00E833EF" w:rsidP="00504FB7">
            <w:pPr>
              <w:tabs>
                <w:tab w:val="left" w:pos="1701"/>
                <w:tab w:val="left" w:pos="1985"/>
              </w:tabs>
              <w:spacing w:before="240"/>
            </w:pPr>
          </w:p>
        </w:tc>
        <w:tc>
          <w:tcPr>
            <w:tcW w:w="1701" w:type="dxa"/>
          </w:tcPr>
          <w:p w:rsidR="00E833EF" w:rsidRDefault="00E833EF" w:rsidP="00504FB7">
            <w:pPr>
              <w:tabs>
                <w:tab w:val="left" w:pos="1701"/>
                <w:tab w:val="left" w:pos="1985"/>
              </w:tabs>
              <w:spacing w:before="240"/>
            </w:pPr>
          </w:p>
        </w:tc>
      </w:tr>
    </w:tbl>
    <w:p w:rsidR="00E833EF" w:rsidRDefault="00E833EF" w:rsidP="00E833EF">
      <w:pPr>
        <w:tabs>
          <w:tab w:val="left" w:pos="1701"/>
          <w:tab w:val="left" w:pos="1985"/>
        </w:tabs>
        <w:spacing w:after="0"/>
        <w:ind w:left="1980" w:hanging="1980"/>
      </w:pPr>
    </w:p>
    <w:p w:rsidR="00E833EF" w:rsidRDefault="00E833EF" w:rsidP="00E833EF">
      <w:pPr>
        <w:tabs>
          <w:tab w:val="left" w:pos="1701"/>
          <w:tab w:val="left" w:pos="1985"/>
        </w:tabs>
        <w:spacing w:after="0"/>
        <w:ind w:left="1980" w:hanging="1980"/>
      </w:pPr>
    </w:p>
    <w:p w:rsidR="00E833EF" w:rsidRDefault="00E833EF" w:rsidP="00E833EF">
      <w:pPr>
        <w:rPr>
          <w:color w:val="auto"/>
        </w:rPr>
      </w:pPr>
      <w:r w:rsidRPr="00D9695A">
        <w:rPr>
          <w:color w:val="auto"/>
        </w:rPr>
        <w:t xml:space="preserve">Aufgabe 1 – </w:t>
      </w:r>
      <w:r>
        <w:rPr>
          <w:color w:val="auto"/>
        </w:rPr>
        <w:t>Begründe die gemessene Spannung und erkläre, welches Alltagsmetall im Vergleich zu einem anderen Alltagsmetall die elektronenabgebende beziehungsweise elektronenaufne</w:t>
      </w:r>
      <w:r>
        <w:rPr>
          <w:color w:val="auto"/>
        </w:rPr>
        <w:t>h</w:t>
      </w:r>
      <w:r>
        <w:rPr>
          <w:color w:val="auto"/>
        </w:rPr>
        <w:t>mende Halbzelle ist.</w:t>
      </w:r>
    </w:p>
    <w:p w:rsidR="00E833EF" w:rsidRPr="00D9695A" w:rsidRDefault="00E833EF" w:rsidP="00E833EF">
      <w:pPr>
        <w:rPr>
          <w:color w:val="auto"/>
        </w:rPr>
      </w:pPr>
      <w:r>
        <w:rPr>
          <w:color w:val="auto"/>
        </w:rPr>
        <w:t xml:space="preserve">Aufgabe 2 </w:t>
      </w:r>
      <w:r w:rsidRPr="00D9695A">
        <w:rPr>
          <w:color w:val="auto"/>
        </w:rPr>
        <w:t>–</w:t>
      </w:r>
      <w:r>
        <w:rPr>
          <w:color w:val="auto"/>
        </w:rPr>
        <w:t xml:space="preserve"> (Partnerarbeit) Entwickelt einen Versuchsaufbau, mit dem die Spannung erhöht werden kann.</w:t>
      </w:r>
    </w:p>
    <w:p w:rsidR="00E833EF" w:rsidRDefault="00E833EF" w:rsidP="00E833EF">
      <w:pPr>
        <w:rPr>
          <w:color w:val="auto"/>
        </w:rPr>
      </w:pPr>
      <w:r>
        <w:rPr>
          <w:color w:val="auto"/>
        </w:rPr>
        <w:t>Aufgabe 3</w:t>
      </w:r>
      <w:r w:rsidRPr="00D9695A">
        <w:rPr>
          <w:color w:val="auto"/>
        </w:rPr>
        <w:t xml:space="preserve"> – </w:t>
      </w:r>
      <w:r>
        <w:rPr>
          <w:color w:val="auto"/>
        </w:rPr>
        <w:t>(Partnerarbeit) Führt ein Experiment anhand eures Versuchsaufbaus durch.</w:t>
      </w:r>
    </w:p>
    <w:p w:rsidR="00E833EF" w:rsidRDefault="00E833EF" w:rsidP="00E833EF">
      <w:pPr>
        <w:rPr>
          <w:color w:val="auto"/>
        </w:rPr>
      </w:pPr>
      <w:r>
        <w:rPr>
          <w:color w:val="auto"/>
        </w:rPr>
        <w:t xml:space="preserve">Aufgabe 4 </w:t>
      </w:r>
      <w:r w:rsidRPr="00D9695A">
        <w:rPr>
          <w:color w:val="auto"/>
        </w:rPr>
        <w:t>–</w:t>
      </w:r>
      <w:r>
        <w:rPr>
          <w:color w:val="auto"/>
        </w:rPr>
        <w:t xml:space="preserve"> (Partnerarbeit) Vergleicht und bewertet mithilfe einer Internetrecherche, in wie weit euer Versuchsaufbau mit einer Voltaschen Säule übereinstimmt.</w:t>
      </w:r>
    </w:p>
    <w:p w:rsidR="00E833EF" w:rsidRPr="00D9695A" w:rsidRDefault="00E833EF" w:rsidP="00E833EF">
      <w:pPr>
        <w:rPr>
          <w:color w:val="auto"/>
        </w:rPr>
      </w:pPr>
    </w:p>
    <w:p w:rsidR="00E833EF" w:rsidRPr="00D9695A" w:rsidRDefault="00E833EF" w:rsidP="00E833EF">
      <w:pPr>
        <w:rPr>
          <w:color w:val="auto"/>
        </w:rPr>
        <w:sectPr w:rsidR="00E833EF" w:rsidRPr="00D9695A" w:rsidSect="0049087A">
          <w:headerReference w:type="default" r:id="rId8"/>
          <w:pgSz w:w="11906" w:h="16838"/>
          <w:pgMar w:top="1417" w:right="1417" w:bottom="709" w:left="1417" w:header="708" w:footer="708" w:gutter="0"/>
          <w:pgNumType w:start="0"/>
          <w:cols w:space="708"/>
          <w:docGrid w:linePitch="360"/>
        </w:sectPr>
      </w:pPr>
    </w:p>
    <w:p w:rsidR="00E833EF" w:rsidRPr="00D9695A" w:rsidRDefault="00E833EF" w:rsidP="00E833EF">
      <w:pPr>
        <w:pStyle w:val="berschrift1"/>
        <w:rPr>
          <w:color w:val="auto"/>
        </w:rPr>
      </w:pPr>
      <w:bookmarkStart w:id="0" w:name="_Toc396466908"/>
      <w:r>
        <w:rPr>
          <w:color w:val="auto"/>
        </w:rPr>
        <w:lastRenderedPageBreak/>
        <w:t xml:space="preserve">Didaktischer Kommentar zum </w:t>
      </w:r>
      <w:r w:rsidRPr="00D9695A">
        <w:rPr>
          <w:color w:val="auto"/>
        </w:rPr>
        <w:t>Arbeitsblatt</w:t>
      </w:r>
      <w:bookmarkEnd w:id="0"/>
    </w:p>
    <w:p w:rsidR="00E833EF" w:rsidRDefault="00E833EF" w:rsidP="00E833EF">
      <w:pPr>
        <w:rPr>
          <w:color w:val="auto"/>
        </w:rPr>
      </w:pPr>
      <w:r>
        <w:rPr>
          <w:color w:val="auto"/>
        </w:rPr>
        <w:t xml:space="preserve">Das Arbeitsblatt dient als Einstieg in das Thema „Batterie und Akkumulatoren“. Die </w:t>
      </w:r>
      <w:proofErr w:type="spellStart"/>
      <w:r>
        <w:rPr>
          <w:color w:val="auto"/>
        </w:rPr>
        <w:t>SuS</w:t>
      </w:r>
      <w:proofErr w:type="spellEnd"/>
      <w:r>
        <w:rPr>
          <w:color w:val="auto"/>
        </w:rPr>
        <w:t xml:space="preserve"> sollen zunächst ermitteln, mit welchen Alltagsmetallen mögliche Spannungen erzielt werden können. Zunächst müssen die </w:t>
      </w:r>
      <w:proofErr w:type="spellStart"/>
      <w:r>
        <w:rPr>
          <w:color w:val="auto"/>
        </w:rPr>
        <w:t>SuS</w:t>
      </w:r>
      <w:proofErr w:type="spellEnd"/>
      <w:r>
        <w:rPr>
          <w:color w:val="auto"/>
        </w:rPr>
        <w:t xml:space="preserve"> nach Anleitung experimentieren und die Beobachtung dokumentieren. Anschließend soll eine begründete Reflexion der gemessenen Spannung sowie deren Erhöhung durchgeführt werden. Abschließend sollen die </w:t>
      </w:r>
      <w:proofErr w:type="spellStart"/>
      <w:r>
        <w:rPr>
          <w:color w:val="auto"/>
        </w:rPr>
        <w:t>SuS</w:t>
      </w:r>
      <w:proofErr w:type="spellEnd"/>
      <w:r>
        <w:rPr>
          <w:color w:val="auto"/>
        </w:rPr>
        <w:t xml:space="preserve"> ihren Versuchsaufbau mit der Voltaschen Säule (Vorläufer der heutigen Batterie) vergleichen und bewerten.</w:t>
      </w:r>
    </w:p>
    <w:p w:rsidR="00E833EF" w:rsidRPr="00D9695A" w:rsidRDefault="00E833EF" w:rsidP="00E833EF">
      <w:pPr>
        <w:rPr>
          <w:color w:val="auto"/>
        </w:rPr>
      </w:pPr>
      <w:r>
        <w:rPr>
          <w:color w:val="auto"/>
        </w:rPr>
        <w:t xml:space="preserve">Als Vorwissen sollten die </w:t>
      </w:r>
      <w:proofErr w:type="spellStart"/>
      <w:r>
        <w:rPr>
          <w:color w:val="auto"/>
        </w:rPr>
        <w:t>SuS</w:t>
      </w:r>
      <w:proofErr w:type="spellEnd"/>
      <w:r>
        <w:rPr>
          <w:color w:val="auto"/>
        </w:rPr>
        <w:t xml:space="preserve"> zu dem Thema </w:t>
      </w:r>
      <w:proofErr w:type="spellStart"/>
      <w:r>
        <w:rPr>
          <w:color w:val="auto"/>
        </w:rPr>
        <w:t>Redox</w:t>
      </w:r>
      <w:proofErr w:type="spellEnd"/>
      <w:r>
        <w:rPr>
          <w:color w:val="auto"/>
        </w:rPr>
        <w:t>-Gleichungen als auch galvanische Zelle b</w:t>
      </w:r>
      <w:r>
        <w:rPr>
          <w:color w:val="auto"/>
        </w:rPr>
        <w:t>e</w:t>
      </w:r>
      <w:r>
        <w:rPr>
          <w:color w:val="auto"/>
        </w:rPr>
        <w:t>sitzen. Somit wäre das Experimentieren mithilfe von Halbzellen erleichtert.</w:t>
      </w:r>
    </w:p>
    <w:p w:rsidR="00E833EF" w:rsidRPr="00D9695A" w:rsidRDefault="00E833EF" w:rsidP="00E833EF">
      <w:pPr>
        <w:pStyle w:val="berschrift2"/>
        <w:rPr>
          <w:color w:val="auto"/>
        </w:rPr>
      </w:pPr>
      <w:bookmarkStart w:id="1" w:name="_Toc396466909"/>
      <w:r w:rsidRPr="00D9695A">
        <w:rPr>
          <w:color w:val="auto"/>
        </w:rPr>
        <w:t>Erwartungshorizont (Kerncurriculum)</w:t>
      </w:r>
      <w:bookmarkEnd w:id="1"/>
    </w:p>
    <w:p w:rsidR="00E833EF" w:rsidRPr="00D9695A" w:rsidRDefault="00E833EF" w:rsidP="00E833EF">
      <w:pPr>
        <w:autoSpaceDE w:val="0"/>
        <w:autoSpaceDN w:val="0"/>
        <w:adjustRightInd w:val="0"/>
        <w:spacing w:after="0"/>
        <w:ind w:left="2835" w:hanging="2835"/>
        <w:jc w:val="left"/>
        <w:rPr>
          <w:color w:val="auto"/>
        </w:rPr>
      </w:pPr>
      <w:r w:rsidRPr="00D9695A">
        <w:rPr>
          <w:color w:val="auto"/>
        </w:rPr>
        <w:t>Fachwissen</w:t>
      </w:r>
      <w:r>
        <w:rPr>
          <w:color w:val="auto"/>
        </w:rPr>
        <w:t xml:space="preserve"> (FW)</w:t>
      </w:r>
      <w:r w:rsidRPr="00D9695A">
        <w:rPr>
          <w:color w:val="auto"/>
        </w:rPr>
        <w:t>:</w:t>
      </w:r>
      <w:r w:rsidRPr="00D9695A">
        <w:rPr>
          <w:color w:val="auto"/>
        </w:rPr>
        <w:tab/>
      </w:r>
      <w:r>
        <w:rPr>
          <w:color w:val="auto"/>
        </w:rPr>
        <w:t>„</w:t>
      </w:r>
      <w:r w:rsidRPr="00D9695A">
        <w:rPr>
          <w:color w:val="auto"/>
        </w:rPr>
        <w:t xml:space="preserve">Die </w:t>
      </w:r>
      <w:proofErr w:type="spellStart"/>
      <w:r w:rsidRPr="00D9695A">
        <w:rPr>
          <w:color w:val="auto"/>
        </w:rPr>
        <w:t>SuS</w:t>
      </w:r>
      <w:proofErr w:type="spellEnd"/>
      <w:r w:rsidRPr="00D9695A">
        <w:rPr>
          <w:color w:val="auto"/>
        </w:rPr>
        <w:t xml:space="preserve"> </w:t>
      </w:r>
      <w:r>
        <w:rPr>
          <w:color w:val="auto"/>
        </w:rPr>
        <w:t xml:space="preserve">beschreiben die galvanische Zelle als Kopplung zweier </w:t>
      </w:r>
      <w:proofErr w:type="spellStart"/>
      <w:r>
        <w:rPr>
          <w:color w:val="auto"/>
        </w:rPr>
        <w:t>Redoxgleichungen</w:t>
      </w:r>
      <w:proofErr w:type="spellEnd"/>
      <w:r>
        <w:rPr>
          <w:color w:val="auto"/>
        </w:rPr>
        <w:t>.“</w:t>
      </w:r>
      <w:r w:rsidRPr="00232FCF">
        <w:rPr>
          <w:color w:val="auto"/>
          <w:vertAlign w:val="superscript"/>
        </w:rPr>
        <w:t>[1]</w:t>
      </w:r>
    </w:p>
    <w:p w:rsidR="00E833EF" w:rsidRPr="00D9695A" w:rsidRDefault="00E833EF" w:rsidP="00E833EF">
      <w:pPr>
        <w:autoSpaceDE w:val="0"/>
        <w:autoSpaceDN w:val="0"/>
        <w:adjustRightInd w:val="0"/>
        <w:spacing w:before="240" w:after="0"/>
        <w:ind w:left="2835" w:hanging="2835"/>
        <w:jc w:val="left"/>
        <w:rPr>
          <w:color w:val="auto"/>
        </w:rPr>
      </w:pPr>
      <w:r w:rsidRPr="00D9695A">
        <w:rPr>
          <w:color w:val="auto"/>
        </w:rPr>
        <w:t>Erkenntnisgewinnung</w:t>
      </w:r>
      <w:r>
        <w:rPr>
          <w:color w:val="auto"/>
        </w:rPr>
        <w:t xml:space="preserve"> (EG)</w:t>
      </w:r>
      <w:r w:rsidRPr="00D9695A">
        <w:rPr>
          <w:color w:val="auto"/>
        </w:rPr>
        <w:t>:</w:t>
      </w:r>
      <w:r w:rsidRPr="00D9695A">
        <w:rPr>
          <w:color w:val="auto"/>
        </w:rPr>
        <w:tab/>
      </w:r>
      <w:r>
        <w:rPr>
          <w:color w:val="auto"/>
        </w:rPr>
        <w:t>„</w:t>
      </w:r>
      <w:r w:rsidRPr="00D9695A">
        <w:rPr>
          <w:color w:val="auto"/>
        </w:rPr>
        <w:t xml:space="preserve">Die </w:t>
      </w:r>
      <w:proofErr w:type="spellStart"/>
      <w:r>
        <w:rPr>
          <w:color w:val="auto"/>
        </w:rPr>
        <w:t>SuS</w:t>
      </w:r>
      <w:proofErr w:type="spellEnd"/>
      <w:r>
        <w:rPr>
          <w:color w:val="auto"/>
        </w:rPr>
        <w:t xml:space="preserve"> messen die Spannung unterschiedlicher galvanischer Zellen.“</w:t>
      </w:r>
      <w:r w:rsidRPr="00232FCF">
        <w:rPr>
          <w:color w:val="auto"/>
          <w:vertAlign w:val="superscript"/>
        </w:rPr>
        <w:t>[1]</w:t>
      </w:r>
    </w:p>
    <w:p w:rsidR="00E833EF" w:rsidRPr="003E7BC9" w:rsidRDefault="00E833EF" w:rsidP="00E833EF">
      <w:pPr>
        <w:autoSpaceDE w:val="0"/>
        <w:autoSpaceDN w:val="0"/>
        <w:adjustRightInd w:val="0"/>
        <w:spacing w:after="0"/>
        <w:ind w:left="2835"/>
        <w:jc w:val="left"/>
        <w:rPr>
          <w:color w:val="auto"/>
        </w:rPr>
      </w:pPr>
      <w:r w:rsidRPr="00D9695A">
        <w:rPr>
          <w:color w:val="auto"/>
        </w:rPr>
        <w:t xml:space="preserve">Die </w:t>
      </w:r>
      <w:proofErr w:type="spellStart"/>
      <w:r w:rsidRPr="00D9695A">
        <w:rPr>
          <w:color w:val="auto"/>
        </w:rPr>
        <w:t>SuS</w:t>
      </w:r>
      <w:proofErr w:type="spellEnd"/>
      <w:r>
        <w:rPr>
          <w:color w:val="auto"/>
        </w:rPr>
        <w:t xml:space="preserve"> planen Experimente zum Bau funktionsfähiger galvan</w:t>
      </w:r>
      <w:r>
        <w:rPr>
          <w:color w:val="auto"/>
        </w:rPr>
        <w:t>i</w:t>
      </w:r>
      <w:r>
        <w:rPr>
          <w:color w:val="auto"/>
        </w:rPr>
        <w:t>scher Zellen und führen diese durch.“</w:t>
      </w:r>
      <w:r w:rsidRPr="00232FCF">
        <w:rPr>
          <w:color w:val="auto"/>
          <w:vertAlign w:val="superscript"/>
        </w:rPr>
        <w:t>[1]</w:t>
      </w:r>
    </w:p>
    <w:p w:rsidR="00E833EF" w:rsidRPr="003E7BC9" w:rsidRDefault="00E833EF" w:rsidP="00E833EF">
      <w:pPr>
        <w:autoSpaceDE w:val="0"/>
        <w:autoSpaceDN w:val="0"/>
        <w:adjustRightInd w:val="0"/>
        <w:spacing w:after="0"/>
        <w:ind w:left="2835"/>
        <w:jc w:val="left"/>
        <w:rPr>
          <w:color w:val="auto"/>
        </w:rPr>
      </w:pPr>
      <w:r>
        <w:rPr>
          <w:color w:val="auto"/>
        </w:rPr>
        <w:t xml:space="preserve">„Die </w:t>
      </w:r>
      <w:proofErr w:type="spellStart"/>
      <w:r>
        <w:rPr>
          <w:color w:val="auto"/>
        </w:rPr>
        <w:t>SuS</w:t>
      </w:r>
      <w:proofErr w:type="spellEnd"/>
      <w:r>
        <w:rPr>
          <w:color w:val="auto"/>
        </w:rPr>
        <w:t xml:space="preserve"> strukturieren ihr Wissen zu Batterien,…“</w:t>
      </w:r>
      <w:r w:rsidRPr="00232FCF">
        <w:rPr>
          <w:color w:val="auto"/>
          <w:vertAlign w:val="superscript"/>
        </w:rPr>
        <w:t>[1]</w:t>
      </w:r>
    </w:p>
    <w:p w:rsidR="00E833EF" w:rsidRPr="003E7BC9" w:rsidRDefault="00E833EF" w:rsidP="00E833EF">
      <w:pPr>
        <w:autoSpaceDE w:val="0"/>
        <w:autoSpaceDN w:val="0"/>
        <w:adjustRightInd w:val="0"/>
        <w:spacing w:before="240" w:after="0"/>
        <w:ind w:left="2835" w:hanging="2835"/>
        <w:jc w:val="left"/>
        <w:rPr>
          <w:color w:val="auto"/>
        </w:rPr>
      </w:pPr>
      <w:r w:rsidRPr="00D9695A">
        <w:rPr>
          <w:color w:val="auto"/>
        </w:rPr>
        <w:t>Kommunikation</w:t>
      </w:r>
      <w:r>
        <w:rPr>
          <w:color w:val="auto"/>
        </w:rPr>
        <w:t xml:space="preserve"> (KK)</w:t>
      </w:r>
      <w:r w:rsidRPr="00D9695A">
        <w:rPr>
          <w:color w:val="auto"/>
        </w:rPr>
        <w:t xml:space="preserve">: </w:t>
      </w:r>
      <w:r w:rsidRPr="00D9695A">
        <w:rPr>
          <w:color w:val="auto"/>
        </w:rPr>
        <w:tab/>
        <w:t xml:space="preserve">Die </w:t>
      </w:r>
      <w:proofErr w:type="spellStart"/>
      <w:r w:rsidRPr="00D9695A">
        <w:rPr>
          <w:color w:val="auto"/>
        </w:rPr>
        <w:t>SuS</w:t>
      </w:r>
      <w:proofErr w:type="spellEnd"/>
      <w:r>
        <w:rPr>
          <w:color w:val="auto"/>
        </w:rPr>
        <w:t xml:space="preserve"> recherchieren exemplarisch zu Batterien,…“</w:t>
      </w:r>
      <w:r w:rsidRPr="00232FCF">
        <w:rPr>
          <w:color w:val="auto"/>
          <w:vertAlign w:val="superscript"/>
        </w:rPr>
        <w:t>[1]</w:t>
      </w:r>
    </w:p>
    <w:p w:rsidR="00E833EF" w:rsidRPr="00D9695A" w:rsidRDefault="00E833EF" w:rsidP="00E833EF">
      <w:pPr>
        <w:autoSpaceDE w:val="0"/>
        <w:autoSpaceDN w:val="0"/>
        <w:adjustRightInd w:val="0"/>
        <w:spacing w:before="240" w:after="0"/>
        <w:rPr>
          <w:color w:val="auto"/>
        </w:rPr>
      </w:pPr>
      <w:r>
        <w:rPr>
          <w:color w:val="auto"/>
        </w:rPr>
        <w:t xml:space="preserve">Für die Förderung des Anforderungsbereich I werden der Versuch und seine Dokumentation vorgesehen. Der Anforderungsbereich II soll vor allen mit den Aufgaben 1, 2 und 3 gefördert werden. Die </w:t>
      </w:r>
      <w:proofErr w:type="spellStart"/>
      <w:r>
        <w:rPr>
          <w:color w:val="auto"/>
        </w:rPr>
        <w:t>SuS</w:t>
      </w:r>
      <w:proofErr w:type="spellEnd"/>
      <w:r>
        <w:rPr>
          <w:color w:val="auto"/>
        </w:rPr>
        <w:t xml:space="preserve"> sollen zunächst ihr Fachwissen mithilfe von Basiskonzepten strukturieren. A</w:t>
      </w:r>
      <w:r>
        <w:rPr>
          <w:color w:val="auto"/>
        </w:rPr>
        <w:t>n</w:t>
      </w:r>
      <w:r>
        <w:rPr>
          <w:color w:val="auto"/>
        </w:rPr>
        <w:t xml:space="preserve">schließend soll ein Experiment eigenständig geplant und durchgeführt werden. Mit Hilfe der Aufgabe 4 soll der Anforderungsbereich III gefördert werden. Die </w:t>
      </w:r>
      <w:proofErr w:type="spellStart"/>
      <w:r>
        <w:rPr>
          <w:color w:val="auto"/>
        </w:rPr>
        <w:t>SuS</w:t>
      </w:r>
      <w:proofErr w:type="spellEnd"/>
      <w:r>
        <w:rPr>
          <w:color w:val="auto"/>
        </w:rPr>
        <w:t xml:space="preserve"> sollen selbstständig Daten und Fakten auswählen, um ihr Experiment zu bewerten.</w:t>
      </w:r>
    </w:p>
    <w:p w:rsidR="00E833EF" w:rsidRPr="00D9695A" w:rsidRDefault="00E833EF" w:rsidP="00E833EF">
      <w:pPr>
        <w:pStyle w:val="berschrift2"/>
        <w:rPr>
          <w:color w:val="auto"/>
        </w:rPr>
      </w:pPr>
      <w:bookmarkStart w:id="2" w:name="_Toc396466910"/>
      <w:r w:rsidRPr="00D9695A">
        <w:rPr>
          <w:color w:val="auto"/>
        </w:rPr>
        <w:t>Erwartungshorizont (Inhaltlich)</w:t>
      </w:r>
      <w:bookmarkEnd w:id="2"/>
    </w:p>
    <w:p w:rsidR="00E833EF" w:rsidRDefault="00E833EF" w:rsidP="00E833EF">
      <w:pPr>
        <w:tabs>
          <w:tab w:val="left" w:pos="0"/>
          <w:tab w:val="left" w:pos="1701"/>
        </w:tabs>
        <w:spacing w:before="240" w:after="0"/>
      </w:pPr>
      <w:r w:rsidRPr="00D9695A">
        <w:rPr>
          <w:b/>
          <w:color w:val="auto"/>
        </w:rPr>
        <w:t>Aufgabe 1</w:t>
      </w:r>
      <w:r w:rsidRPr="00D9695A">
        <w:rPr>
          <w:color w:val="auto"/>
        </w:rPr>
        <w:t xml:space="preserve"> – </w:t>
      </w:r>
      <w:r>
        <w:t>Es kann festgestellt werden, dass manche Alltagsmetalle bevorzugt Elektronen aufnehmen beziehungsweise abgeben. Dabei wird chemische Energie in elektrische Energie umg</w:t>
      </w:r>
      <w:r>
        <w:t>e</w:t>
      </w:r>
      <w:r>
        <w:t>wandelt. Hierbei führt die Kombination unterschiedlicher Halbzellen zu verschiedenen Werten der Spannung.</w:t>
      </w:r>
    </w:p>
    <w:p w:rsidR="00E833EF" w:rsidRDefault="00E833EF" w:rsidP="00E833EF">
      <w:pPr>
        <w:tabs>
          <w:tab w:val="left" w:pos="0"/>
          <w:tab w:val="left" w:pos="1701"/>
        </w:tabs>
      </w:pPr>
      <w:r>
        <w:t>Für die Elektronenabgebenden Halbzellen gilt folgenden Oxidation.</w:t>
      </w:r>
    </w:p>
    <w:p w:rsidR="00E833EF" w:rsidRPr="00A91FA0" w:rsidRDefault="00E833EF" w:rsidP="00E833EF">
      <w:pPr>
        <w:tabs>
          <w:tab w:val="left" w:pos="1701"/>
          <w:tab w:val="left" w:pos="1985"/>
        </w:tabs>
        <w:spacing w:before="240"/>
        <w:ind w:left="1980" w:hanging="1980"/>
        <w:rPr>
          <w:rFonts w:eastAsiaTheme="minorEastAsia"/>
        </w:rPr>
      </w:pPr>
      <m:oMathPara>
        <m:oMath>
          <m:r>
            <w:rPr>
              <w:rFonts w:ascii="Cambria Math" w:hAnsi="Cambria Math"/>
            </w:rPr>
            <m:t>Me→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Me</m:t>
              </m:r>
            </m:e>
            <m:sup>
              <m:r>
                <w:rPr>
                  <w:rFonts w:ascii="Cambria Math" w:hAnsi="Cambria Math"/>
                </w:rPr>
                <m:t>x+</m:t>
              </m:r>
            </m:sup>
          </m:sSup>
          <m:r>
            <w:rPr>
              <w:rFonts w:ascii="Cambria Math" w:hAnsi="Cambria Math"/>
            </w:rPr>
            <m:t xml:space="preserve">+x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</m:sup>
          </m:sSup>
        </m:oMath>
      </m:oMathPara>
    </w:p>
    <w:p w:rsidR="00E833EF" w:rsidRDefault="00E833EF" w:rsidP="00E833EF">
      <w:pPr>
        <w:spacing w:line="276" w:lineRule="auto"/>
      </w:pPr>
      <w:r>
        <w:lastRenderedPageBreak/>
        <w:t>Für die Elektronenaufnehmende Halbzelle gilt, dass die edlen Metalle lediglich als Ableitelektr</w:t>
      </w:r>
      <w:r>
        <w:t>o</w:t>
      </w:r>
      <w:r>
        <w:t>de dienen und der Sauerstoff reduziert wird.</w:t>
      </w:r>
    </w:p>
    <w:p w:rsidR="00E833EF" w:rsidRPr="00BA61D4" w:rsidRDefault="00E833EF" w:rsidP="00E833EF">
      <w:pPr>
        <w:spacing w:before="240" w:line="276" w:lineRule="auto"/>
        <w:ind w:left="1985" w:hanging="1985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O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 + 2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H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 xml:space="preserve">O + 4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e</m:t>
              </m:r>
            </m:e>
            <m:sup>
              <m:r>
                <w:rPr>
                  <w:rFonts w:ascii="Cambria Math" w:hAnsi="Cambria Math"/>
                </w:rPr>
                <m:t>-</m:t>
              </m:r>
            </m:sup>
          </m:sSup>
          <m:r>
            <w:rPr>
              <w:rFonts w:ascii="Cambria Math" w:hAnsi="Cambria Math"/>
            </w:rPr>
            <m:t>→</m:t>
          </m:r>
          <m:r>
            <w:rPr>
              <w:rFonts w:ascii="Cambria Math" w:eastAsiaTheme="minorEastAsia" w:hAnsi="Cambria Math"/>
            </w:rPr>
            <m:t xml:space="preserve">4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OH</m:t>
              </m:r>
            </m:e>
            <m:sup>
              <m:r>
                <w:rPr>
                  <w:rFonts w:ascii="Cambria Math" w:eastAsiaTheme="minorEastAsia" w:hAnsi="Cambria Math"/>
                </w:rPr>
                <m:t>-</m:t>
              </m:r>
            </m:sup>
          </m:sSup>
        </m:oMath>
      </m:oMathPara>
    </w:p>
    <w:p w:rsidR="00E833EF" w:rsidRDefault="00E833EF" w:rsidP="00E833EF">
      <w:pPr>
        <w:spacing w:after="0"/>
      </w:pPr>
      <w:r w:rsidRPr="00D9695A">
        <w:rPr>
          <w:b/>
          <w:color w:val="auto"/>
        </w:rPr>
        <w:t>Aufgabe 2</w:t>
      </w:r>
      <w:r w:rsidRPr="00D9695A">
        <w:rPr>
          <w:color w:val="auto"/>
        </w:rPr>
        <w:t xml:space="preserve"> – </w:t>
      </w:r>
      <w:r>
        <w:rPr>
          <w:color w:val="auto"/>
        </w:rPr>
        <w:t>Die galvanischen Zellen werden in Reihe geschaltet, um die Spannung zu erhöhen.</w:t>
      </w:r>
    </w:p>
    <w:p w:rsidR="00E833EF" w:rsidRDefault="00E833EF" w:rsidP="00E833EF">
      <w:pPr>
        <w:spacing w:after="0"/>
        <w:rPr>
          <w:color w:val="auto"/>
        </w:rPr>
      </w:pPr>
    </w:p>
    <w:p w:rsidR="00E833EF" w:rsidRPr="00125B34" w:rsidRDefault="00E833EF" w:rsidP="00E833EF">
      <w:pPr>
        <w:rPr>
          <w:color w:val="auto"/>
        </w:rPr>
      </w:pPr>
      <w:r w:rsidRPr="00BC63CC">
        <w:rPr>
          <w:b/>
          <w:color w:val="auto"/>
        </w:rPr>
        <w:t xml:space="preserve">Aufgabe 3 </w:t>
      </w:r>
      <w:r w:rsidRPr="00BC63CC">
        <w:rPr>
          <w:color w:val="auto"/>
        </w:rPr>
        <w:t xml:space="preserve">– </w:t>
      </w:r>
      <w:r>
        <w:rPr>
          <w:color w:val="auto"/>
        </w:rPr>
        <w:t xml:space="preserve">Die </w:t>
      </w:r>
      <w:proofErr w:type="spellStart"/>
      <w:r>
        <w:rPr>
          <w:color w:val="auto"/>
        </w:rPr>
        <w:t>SuS</w:t>
      </w:r>
      <w:proofErr w:type="spellEnd"/>
      <w:r>
        <w:rPr>
          <w:color w:val="auto"/>
        </w:rPr>
        <w:t xml:space="preserve"> führen ihr geplantes Experiment eigenständig durch.</w:t>
      </w:r>
    </w:p>
    <w:p w:rsidR="00E833EF" w:rsidRPr="005B60E3" w:rsidRDefault="00E833EF" w:rsidP="00E833EF">
      <w:pPr>
        <w:rPr>
          <w:color w:val="1F497D" w:themeColor="text2"/>
        </w:rPr>
      </w:pPr>
      <w:r w:rsidRPr="008A1866">
        <w:rPr>
          <w:b/>
          <w:color w:val="auto"/>
        </w:rPr>
        <w:t>Aufgabe 4</w:t>
      </w:r>
      <w:r w:rsidRPr="00D9695A">
        <w:rPr>
          <w:color w:val="auto"/>
        </w:rPr>
        <w:t xml:space="preserve"> –</w:t>
      </w:r>
      <w:r>
        <w:rPr>
          <w:color w:val="auto"/>
        </w:rPr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833EF" w:rsidRPr="00114C6E" w:rsidTr="00504FB7">
        <w:tc>
          <w:tcPr>
            <w:tcW w:w="4606" w:type="dxa"/>
            <w:shd w:val="clear" w:color="auto" w:fill="BFBFBF" w:themeFill="background1" w:themeFillShade="BF"/>
          </w:tcPr>
          <w:p w:rsidR="00E833EF" w:rsidRPr="00114C6E" w:rsidRDefault="00E833EF" w:rsidP="00504FB7">
            <w:pPr>
              <w:rPr>
                <w:color w:val="auto"/>
              </w:rPr>
            </w:pPr>
            <w:r w:rsidRPr="00114C6E">
              <w:rPr>
                <w:color w:val="auto"/>
              </w:rPr>
              <w:t>Eigenes Experiment</w:t>
            </w:r>
          </w:p>
        </w:tc>
        <w:tc>
          <w:tcPr>
            <w:tcW w:w="4606" w:type="dxa"/>
            <w:shd w:val="clear" w:color="auto" w:fill="BFBFBF" w:themeFill="background1" w:themeFillShade="BF"/>
          </w:tcPr>
          <w:p w:rsidR="00E833EF" w:rsidRPr="00114C6E" w:rsidRDefault="00E833EF" w:rsidP="00504FB7">
            <w:pPr>
              <w:rPr>
                <w:color w:val="auto"/>
              </w:rPr>
            </w:pPr>
            <w:r w:rsidRPr="00114C6E">
              <w:rPr>
                <w:color w:val="auto"/>
              </w:rPr>
              <w:t>Voltasche Säule</w:t>
            </w:r>
          </w:p>
        </w:tc>
      </w:tr>
      <w:tr w:rsidR="00E833EF" w:rsidRPr="00114C6E" w:rsidTr="00504FB7">
        <w:tc>
          <w:tcPr>
            <w:tcW w:w="4606" w:type="dxa"/>
          </w:tcPr>
          <w:p w:rsidR="00E833EF" w:rsidRPr="00114C6E" w:rsidRDefault="00E833EF" w:rsidP="00504FB7">
            <w:pPr>
              <w:rPr>
                <w:color w:val="auto"/>
              </w:rPr>
            </w:pPr>
            <w:r w:rsidRPr="00114C6E">
              <w:rPr>
                <w:color w:val="auto"/>
              </w:rPr>
              <w:t>Je nach verwendeten Material</w:t>
            </w:r>
          </w:p>
        </w:tc>
        <w:tc>
          <w:tcPr>
            <w:tcW w:w="4606" w:type="dxa"/>
          </w:tcPr>
          <w:p w:rsidR="00E833EF" w:rsidRPr="00114C6E" w:rsidRDefault="00E833EF" w:rsidP="00504FB7">
            <w:pPr>
              <w:rPr>
                <w:color w:val="auto"/>
              </w:rPr>
            </w:pPr>
            <w:r w:rsidRPr="00114C6E">
              <w:rPr>
                <w:color w:val="auto"/>
              </w:rPr>
              <w:t>Kupfer- und Zinkplättchen</w:t>
            </w:r>
          </w:p>
        </w:tc>
      </w:tr>
      <w:tr w:rsidR="00E833EF" w:rsidRPr="00114C6E" w:rsidTr="00504FB7">
        <w:tc>
          <w:tcPr>
            <w:tcW w:w="4606" w:type="dxa"/>
          </w:tcPr>
          <w:p w:rsidR="00E833EF" w:rsidRPr="00114C6E" w:rsidRDefault="00E833EF" w:rsidP="00504FB7">
            <w:pPr>
              <w:rPr>
                <w:color w:val="auto"/>
              </w:rPr>
            </w:pPr>
            <w:r w:rsidRPr="00114C6E">
              <w:rPr>
                <w:color w:val="auto"/>
              </w:rPr>
              <w:t>Mehrere galvanische Zellen sind in Reihe g</w:t>
            </w:r>
            <w:r w:rsidRPr="00114C6E">
              <w:rPr>
                <w:color w:val="auto"/>
              </w:rPr>
              <w:t>e</w:t>
            </w:r>
            <w:r w:rsidRPr="00114C6E">
              <w:rPr>
                <w:color w:val="auto"/>
              </w:rPr>
              <w:t>schaltete</w:t>
            </w:r>
          </w:p>
        </w:tc>
        <w:tc>
          <w:tcPr>
            <w:tcW w:w="4606" w:type="dxa"/>
          </w:tcPr>
          <w:p w:rsidR="00E833EF" w:rsidRPr="00114C6E" w:rsidRDefault="00E833EF" w:rsidP="00504FB7">
            <w:pPr>
              <w:rPr>
                <w:color w:val="auto"/>
              </w:rPr>
            </w:pPr>
            <w:r w:rsidRPr="00114C6E">
              <w:rPr>
                <w:color w:val="auto"/>
              </w:rPr>
              <w:t>Mehrere Volta-Elemente (galvanische Zellen) sind in Reihe geschaltet</w:t>
            </w:r>
          </w:p>
        </w:tc>
      </w:tr>
      <w:tr w:rsidR="00E833EF" w:rsidRPr="00114C6E" w:rsidTr="00504FB7">
        <w:tc>
          <w:tcPr>
            <w:tcW w:w="4606" w:type="dxa"/>
          </w:tcPr>
          <w:p w:rsidR="00E833EF" w:rsidRPr="00114C6E" w:rsidRDefault="00E833EF" w:rsidP="00504FB7">
            <w:pPr>
              <w:rPr>
                <w:color w:val="auto"/>
              </w:rPr>
            </w:pPr>
            <w:r w:rsidRPr="00114C6E">
              <w:rPr>
                <w:color w:val="auto"/>
              </w:rPr>
              <w:t>Besitzt einen Elektrolyten</w:t>
            </w:r>
          </w:p>
        </w:tc>
        <w:tc>
          <w:tcPr>
            <w:tcW w:w="4606" w:type="dxa"/>
          </w:tcPr>
          <w:p w:rsidR="00E833EF" w:rsidRPr="00114C6E" w:rsidRDefault="00E833EF" w:rsidP="00504FB7">
            <w:pPr>
              <w:rPr>
                <w:color w:val="auto"/>
              </w:rPr>
            </w:pPr>
            <w:r w:rsidRPr="00114C6E">
              <w:rPr>
                <w:color w:val="auto"/>
              </w:rPr>
              <w:t>Besitzt einen Elektrolyten</w:t>
            </w:r>
          </w:p>
        </w:tc>
      </w:tr>
      <w:tr w:rsidR="00E833EF" w:rsidRPr="00114C6E" w:rsidTr="00504FB7">
        <w:tc>
          <w:tcPr>
            <w:tcW w:w="4606" w:type="dxa"/>
          </w:tcPr>
          <w:p w:rsidR="00E833EF" w:rsidRPr="00114C6E" w:rsidRDefault="00E833EF" w:rsidP="00504FB7">
            <w:pPr>
              <w:rPr>
                <w:color w:val="auto"/>
              </w:rPr>
            </w:pPr>
            <w:r w:rsidRPr="00114C6E">
              <w:rPr>
                <w:color w:val="auto"/>
              </w:rPr>
              <w:t>Eine galvanische Zelle liefert eine geringe Spannung</w:t>
            </w:r>
          </w:p>
        </w:tc>
        <w:tc>
          <w:tcPr>
            <w:tcW w:w="4606" w:type="dxa"/>
          </w:tcPr>
          <w:p w:rsidR="00E833EF" w:rsidRPr="00114C6E" w:rsidRDefault="00E833EF" w:rsidP="00504FB7">
            <w:pPr>
              <w:rPr>
                <w:color w:val="auto"/>
              </w:rPr>
            </w:pPr>
            <w:r w:rsidRPr="00114C6E">
              <w:rPr>
                <w:color w:val="auto"/>
              </w:rPr>
              <w:t>Ein Volta-Element liefert eine geringe Spa</w:t>
            </w:r>
            <w:r w:rsidRPr="00114C6E">
              <w:rPr>
                <w:color w:val="auto"/>
              </w:rPr>
              <w:t>n</w:t>
            </w:r>
            <w:r w:rsidRPr="00114C6E">
              <w:rPr>
                <w:color w:val="auto"/>
              </w:rPr>
              <w:t>nung</w:t>
            </w:r>
          </w:p>
        </w:tc>
      </w:tr>
    </w:tbl>
    <w:p w:rsidR="00E833EF" w:rsidRPr="005B60E3" w:rsidRDefault="00E833EF" w:rsidP="00E833EF">
      <w:pPr>
        <w:rPr>
          <w:color w:val="1F497D" w:themeColor="text2"/>
        </w:rPr>
      </w:pPr>
    </w:p>
    <w:p w:rsidR="00E833EF" w:rsidRDefault="00E833EF" w:rsidP="00E833EF">
      <w:pPr>
        <w:tabs>
          <w:tab w:val="left" w:pos="0"/>
        </w:tabs>
        <w:spacing w:after="0"/>
        <w:jc w:val="left"/>
        <w:rPr>
          <w:color w:val="auto"/>
        </w:rPr>
      </w:pPr>
      <w:r>
        <w:t xml:space="preserve">Literatur: [1] </w:t>
      </w:r>
      <w:r w:rsidRPr="002464D8">
        <w:rPr>
          <w:color w:val="auto"/>
        </w:rPr>
        <w:t xml:space="preserve">Niedersächsisches Kultusministerium (Hrsg.), </w:t>
      </w:r>
    </w:p>
    <w:p w:rsidR="00E833EF" w:rsidRPr="00C518C2" w:rsidRDefault="00E833EF" w:rsidP="00E833EF">
      <w:pPr>
        <w:tabs>
          <w:tab w:val="left" w:pos="0"/>
        </w:tabs>
        <w:spacing w:after="0"/>
        <w:jc w:val="left"/>
        <w:rPr>
          <w:color w:val="auto"/>
        </w:rPr>
      </w:pPr>
      <w:r w:rsidRPr="00D46057">
        <w:rPr>
          <w:color w:val="auto"/>
        </w:rPr>
        <w:t xml:space="preserve">http://db2.nibis.de/1db/cuvo/datei/kc_chemie_go_i_2009.pdf </w:t>
      </w:r>
      <w:r>
        <w:rPr>
          <w:color w:val="auto"/>
        </w:rPr>
        <w:t>(Zuletzt abgerufen am 22.08.2014 um 01</w:t>
      </w:r>
      <w:r w:rsidRPr="002464D8">
        <w:rPr>
          <w:color w:val="auto"/>
        </w:rPr>
        <w:t>:30 Uhr).</w:t>
      </w:r>
    </w:p>
    <w:p w:rsidR="00E833EF" w:rsidRPr="005B60E3" w:rsidRDefault="00E833EF" w:rsidP="00E833EF">
      <w:pPr>
        <w:autoSpaceDE w:val="0"/>
        <w:autoSpaceDN w:val="0"/>
        <w:adjustRightInd w:val="0"/>
        <w:spacing w:before="240" w:after="0"/>
        <w:jc w:val="left"/>
        <w:rPr>
          <w:color w:val="1F497D" w:themeColor="text2"/>
        </w:rPr>
      </w:pPr>
    </w:p>
    <w:p w:rsidR="00A97FD0" w:rsidRDefault="00A97FD0">
      <w:bookmarkStart w:id="3" w:name="_GoBack"/>
      <w:bookmarkEnd w:id="3"/>
    </w:p>
    <w:sectPr w:rsidR="00A97FD0" w:rsidSect="00776F0C">
      <w:headerReference w:type="default" r:id="rId9"/>
      <w:footerReference w:type="default" r:id="rId10"/>
      <w:pgSz w:w="11906" w:h="16838"/>
      <w:pgMar w:top="1417" w:right="1417" w:bottom="709" w:left="1417" w:header="708" w:footer="708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B0C" w:rsidRDefault="00927B0C" w:rsidP="00E833EF">
      <w:pPr>
        <w:spacing w:after="0" w:line="240" w:lineRule="auto"/>
      </w:pPr>
      <w:r>
        <w:separator/>
      </w:r>
    </w:p>
  </w:endnote>
  <w:endnote w:type="continuationSeparator" w:id="0">
    <w:p w:rsidR="00927B0C" w:rsidRDefault="00927B0C" w:rsidP="00E83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CB3" w:rsidRPr="00E611B0" w:rsidRDefault="00927B0C" w:rsidP="00E611B0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B0C" w:rsidRDefault="00927B0C" w:rsidP="00E833EF">
      <w:pPr>
        <w:spacing w:after="0" w:line="240" w:lineRule="auto"/>
      </w:pPr>
      <w:r>
        <w:separator/>
      </w:r>
    </w:p>
  </w:footnote>
  <w:footnote w:type="continuationSeparator" w:id="0">
    <w:p w:rsidR="00927B0C" w:rsidRDefault="00927B0C" w:rsidP="00E833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CB3" w:rsidRPr="00337B69" w:rsidRDefault="00927B0C" w:rsidP="00337B69">
    <w:pPr>
      <w:pStyle w:val="Kopfzeile"/>
      <w:tabs>
        <w:tab w:val="left" w:pos="0"/>
        <w:tab w:val="left" w:pos="284"/>
      </w:tabs>
      <w:jc w:val="right"/>
      <w:rPr>
        <w:rFonts w:asciiTheme="majorHAnsi" w:hAnsiTheme="majorHAnsi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2CB3" w:rsidRPr="00E833EF" w:rsidRDefault="00927B0C" w:rsidP="00E833EF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22180"/>
    <w:multiLevelType w:val="multilevel"/>
    <w:tmpl w:val="CA18A6E2"/>
    <w:lvl w:ilvl="0">
      <w:start w:val="1"/>
      <w:numFmt w:val="decimal"/>
      <w:pStyle w:val="bersch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  <w:lang w:val="de-DE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EF"/>
    <w:rsid w:val="00047CAF"/>
    <w:rsid w:val="00152CE4"/>
    <w:rsid w:val="00767BC8"/>
    <w:rsid w:val="008371B2"/>
    <w:rsid w:val="00927B0C"/>
    <w:rsid w:val="00A97FD0"/>
    <w:rsid w:val="00AF3D99"/>
    <w:rsid w:val="00D8371B"/>
    <w:rsid w:val="00E833EF"/>
    <w:rsid w:val="00FF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lumns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33EF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33EF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833EF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833EF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833E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33E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33E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33E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33E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33E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Spalten1">
    <w:name w:val="Table Columns 1"/>
    <w:basedOn w:val="NormaleTabelle"/>
    <w:rsid w:val="00152CE4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  <w:tblPr>
      <w:tblStyleColBandSize w:val="1"/>
      <w:tblBorders>
        <w:top w:val="single" w:sz="12" w:space="0" w:color="000000"/>
        <w:bottom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E833EF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833EF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33EF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833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33E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33E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33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33E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33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E83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33EF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E83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33EF"/>
    <w:rPr>
      <w:rFonts w:ascii="Cambria" w:hAnsi="Cambria"/>
      <w:color w:val="1D1B11" w:themeColor="background2" w:themeShade="1A"/>
    </w:rPr>
  </w:style>
  <w:style w:type="table" w:styleId="Tabellenraster">
    <w:name w:val="Table Grid"/>
    <w:basedOn w:val="NormaleTabelle"/>
    <w:uiPriority w:val="59"/>
    <w:rsid w:val="00E83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3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33EF"/>
    <w:rPr>
      <w:rFonts w:ascii="Tahoma" w:hAnsi="Tahoma" w:cs="Tahoma"/>
      <w:color w:val="1D1B11" w:themeColor="background2" w:themeShade="1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Columns 1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833EF"/>
    <w:pPr>
      <w:spacing w:line="360" w:lineRule="auto"/>
      <w:jc w:val="both"/>
    </w:pPr>
    <w:rPr>
      <w:rFonts w:ascii="Cambria" w:hAnsi="Cambria"/>
      <w:color w:val="1D1B11" w:themeColor="background2" w:themeShade="1A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E833EF"/>
    <w:pPr>
      <w:keepNext/>
      <w:keepLines/>
      <w:numPr>
        <w:numId w:val="1"/>
      </w:numPr>
      <w:spacing w:before="360" w:after="24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833EF"/>
    <w:pPr>
      <w:keepNext/>
      <w:keepLines/>
      <w:numPr>
        <w:ilvl w:val="1"/>
        <w:numId w:val="1"/>
      </w:numPr>
      <w:spacing w:before="20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833EF"/>
    <w:pPr>
      <w:keepNext/>
      <w:keepLines/>
      <w:numPr>
        <w:ilvl w:val="2"/>
        <w:numId w:val="1"/>
      </w:numPr>
      <w:spacing w:before="200" w:after="120"/>
      <w:outlineLvl w:val="2"/>
    </w:pPr>
    <w:rPr>
      <w:rFonts w:asciiTheme="majorHAnsi" w:eastAsiaTheme="majorEastAsia" w:hAnsiTheme="majorHAnsi" w:cstheme="majorBidi"/>
      <w:b/>
      <w:bCs/>
      <w:i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E833E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33E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33E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33E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33E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33E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Spalten1">
    <w:name w:val="Table Columns 1"/>
    <w:basedOn w:val="NormaleTabelle"/>
    <w:rsid w:val="00152CE4"/>
    <w:pPr>
      <w:spacing w:after="0" w:line="360" w:lineRule="auto"/>
      <w:jc w:val="both"/>
    </w:pPr>
    <w:rPr>
      <w:rFonts w:ascii="Times New Roman" w:eastAsia="Times New Roman" w:hAnsi="Times New Roman" w:cs="Times New Roman"/>
      <w:b/>
      <w:bCs/>
      <w:sz w:val="20"/>
      <w:szCs w:val="20"/>
      <w:lang w:eastAsia="de-DE"/>
    </w:rPr>
    <w:tblPr>
      <w:tblStyleColBandSize w:val="1"/>
      <w:tblBorders>
        <w:top w:val="single" w:sz="12" w:space="0" w:color="000000"/>
        <w:bottom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E833EF"/>
    <w:rPr>
      <w:rFonts w:asciiTheme="majorHAnsi" w:eastAsiaTheme="majorEastAsia" w:hAnsiTheme="majorHAnsi" w:cstheme="majorBidi"/>
      <w:b/>
      <w:bCs/>
      <w:color w:val="1D1B11" w:themeColor="background2" w:themeShade="1A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833EF"/>
    <w:rPr>
      <w:rFonts w:asciiTheme="majorHAnsi" w:eastAsiaTheme="majorEastAsia" w:hAnsiTheme="majorHAnsi" w:cstheme="majorBidi"/>
      <w:b/>
      <w:bCs/>
      <w:color w:val="1D1B11" w:themeColor="background2" w:themeShade="1A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33EF"/>
    <w:rPr>
      <w:rFonts w:asciiTheme="majorHAnsi" w:eastAsiaTheme="majorEastAsia" w:hAnsiTheme="majorHAnsi" w:cstheme="majorBidi"/>
      <w:b/>
      <w:bCs/>
      <w:i/>
      <w:color w:val="1D1B11" w:themeColor="background2" w:themeShade="1A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E833E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33E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33E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33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33E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33E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E83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33EF"/>
    <w:rPr>
      <w:rFonts w:ascii="Cambria" w:hAnsi="Cambria"/>
      <w:color w:val="1D1B11" w:themeColor="background2" w:themeShade="1A"/>
    </w:rPr>
  </w:style>
  <w:style w:type="paragraph" w:styleId="Fuzeile">
    <w:name w:val="footer"/>
    <w:basedOn w:val="Standard"/>
    <w:link w:val="FuzeileZchn"/>
    <w:uiPriority w:val="99"/>
    <w:unhideWhenUsed/>
    <w:rsid w:val="00E833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33EF"/>
    <w:rPr>
      <w:rFonts w:ascii="Cambria" w:hAnsi="Cambria"/>
      <w:color w:val="1D1B11" w:themeColor="background2" w:themeShade="1A"/>
    </w:rPr>
  </w:style>
  <w:style w:type="table" w:styleId="Tabellenraster">
    <w:name w:val="Table Grid"/>
    <w:basedOn w:val="NormaleTabelle"/>
    <w:uiPriority w:val="59"/>
    <w:rsid w:val="00E83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3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33EF"/>
    <w:rPr>
      <w:rFonts w:ascii="Tahoma" w:hAnsi="Tahoma" w:cs="Tahoma"/>
      <w:color w:val="1D1B11" w:themeColor="background2" w:themeShade="1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Nele</dc:creator>
  <cp:lastModifiedBy>Nele</cp:lastModifiedBy>
  <cp:revision>1</cp:revision>
  <dcterms:created xsi:type="dcterms:W3CDTF">2014-08-26T23:07:00Z</dcterms:created>
  <dcterms:modified xsi:type="dcterms:W3CDTF">2014-08-26T23:08:00Z</dcterms:modified>
</cp:coreProperties>
</file>