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83" w:rsidRPr="00866383" w:rsidRDefault="0033573C" w:rsidP="00866383">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9" type="#_x0000_t202" style="position:absolute;left:0;text-align:left;margin-left:-.05pt;margin-top:46.15pt;width:462.45pt;height:102.85pt;z-index:251660288;mso-width-relative:margin;mso-height-relative:margin" fillcolor="white [3201]" strokecolor="#4bacc6 [3208]" strokeweight="1pt">
            <v:stroke dashstyle="dash"/>
            <v:shadow color="#868686"/>
            <v:textbox style="mso-next-textbox:#_x0000_s1029">
              <w:txbxContent>
                <w:p w:rsidR="00866383" w:rsidRPr="000D10FB" w:rsidRDefault="00866383" w:rsidP="00866383">
                  <w:pPr>
                    <w:rPr>
                      <w:color w:val="1F497D" w:themeColor="text2"/>
                    </w:rPr>
                  </w:pPr>
                  <w:r>
                    <w:rPr>
                      <w:color w:val="1F497D" w:themeColor="text2"/>
                    </w:rPr>
                    <w:t>Anhand dieses Versuches sollen die SuS eine einfache quantitative Bestimmung der Anzahl an Kohlenwasserstoffen kennenlernen. In diesem Zusammenhang üben sie einfache Rechnungen zu Stoffmengenverhältnissen. Zur Durchführung des Experiments sollten die SuS über grundlegende Kenntnisse über Kohlenwasserstoffe verfügen (Eigenschaften, Nomenklatur, homologe Reihe, Strukturisomerie).</w:t>
                  </w:r>
                </w:p>
              </w:txbxContent>
            </v:textbox>
            <w10:wrap type="square"/>
          </v:shape>
        </w:pict>
      </w:r>
      <w:bookmarkStart w:id="0" w:name="_Toc396805090"/>
      <w:r w:rsidR="00866383" w:rsidRPr="00866383">
        <w:rPr>
          <w:sz w:val="28"/>
        </w:rPr>
        <w:t>V 1 – Bestimmung der Anzahl an Kohlenstoffatomen</w:t>
      </w:r>
      <w:bookmarkEnd w:id="0"/>
    </w:p>
    <w:p w:rsidR="00866383" w:rsidRPr="008B120E" w:rsidRDefault="00866383" w:rsidP="00866383"/>
    <w:tbl>
      <w:tblPr>
        <w:tblW w:w="0" w:type="auto"/>
        <w:tblBorders>
          <w:top w:val="single" w:sz="8" w:space="0" w:color="4F81BD"/>
          <w:left w:val="single" w:sz="8" w:space="0" w:color="4F81BD"/>
          <w:bottom w:val="single" w:sz="8" w:space="0" w:color="4F81BD"/>
          <w:right w:val="single" w:sz="8" w:space="0" w:color="4F81BD"/>
        </w:tblBorders>
        <w:tblLook w:val="04A0"/>
      </w:tblPr>
      <w:tblGrid>
        <w:gridCol w:w="1016"/>
        <w:gridCol w:w="1016"/>
        <w:gridCol w:w="1016"/>
        <w:gridCol w:w="1017"/>
        <w:gridCol w:w="1017"/>
        <w:gridCol w:w="984"/>
        <w:gridCol w:w="962"/>
        <w:gridCol w:w="1017"/>
        <w:gridCol w:w="995"/>
      </w:tblGrid>
      <w:tr w:rsidR="00866383" w:rsidRPr="009C5E28" w:rsidTr="00866383">
        <w:tc>
          <w:tcPr>
            <w:tcW w:w="0" w:type="auto"/>
            <w:gridSpan w:val="9"/>
            <w:shd w:val="clear" w:color="auto" w:fill="4F81BD"/>
            <w:vAlign w:val="center"/>
          </w:tcPr>
          <w:p w:rsidR="00866383" w:rsidRPr="009C5E28" w:rsidRDefault="00866383" w:rsidP="00C676C7">
            <w:pPr>
              <w:spacing w:after="0"/>
              <w:jc w:val="center"/>
              <w:rPr>
                <w:b/>
                <w:bCs/>
              </w:rPr>
            </w:pPr>
            <w:r w:rsidRPr="009C5E28">
              <w:rPr>
                <w:b/>
                <w:bCs/>
              </w:rPr>
              <w:t>Gefahrenstoffe</w:t>
            </w:r>
          </w:p>
        </w:tc>
      </w:tr>
      <w:tr w:rsidR="00866383" w:rsidRPr="009C5E28" w:rsidTr="00866383">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866383" w:rsidRPr="009C5E28" w:rsidRDefault="00866383" w:rsidP="00C676C7">
            <w:pPr>
              <w:spacing w:after="0" w:line="276" w:lineRule="auto"/>
              <w:jc w:val="center"/>
              <w:rPr>
                <w:b/>
                <w:bCs/>
              </w:rPr>
            </w:pPr>
            <w:r>
              <w:rPr>
                <w:sz w:val="20"/>
              </w:rPr>
              <w:t>Methan</w:t>
            </w:r>
          </w:p>
        </w:tc>
        <w:tc>
          <w:tcPr>
            <w:tcW w:w="0" w:type="auto"/>
            <w:gridSpan w:val="3"/>
            <w:tcBorders>
              <w:top w:val="single" w:sz="8" w:space="0" w:color="4F81BD"/>
              <w:bottom w:val="single" w:sz="8" w:space="0" w:color="4F81BD"/>
            </w:tcBorders>
            <w:shd w:val="clear" w:color="auto" w:fill="auto"/>
            <w:vAlign w:val="center"/>
          </w:tcPr>
          <w:p w:rsidR="00866383" w:rsidRPr="009C5E28" w:rsidRDefault="00866383" w:rsidP="00C676C7">
            <w:pPr>
              <w:spacing w:after="0"/>
              <w:jc w:val="center"/>
            </w:pPr>
            <w:r w:rsidRPr="002104A3">
              <w:rPr>
                <w:sz w:val="20"/>
              </w:rPr>
              <w:t>H220 H280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866383" w:rsidRPr="009C5E28" w:rsidRDefault="00866383" w:rsidP="00C676C7">
            <w:pPr>
              <w:spacing w:after="0"/>
              <w:jc w:val="center"/>
            </w:pPr>
            <w:r w:rsidRPr="002104A3">
              <w:rPr>
                <w:sz w:val="20"/>
              </w:rPr>
              <w:t>P210 P377 P381 P403</w:t>
            </w:r>
          </w:p>
        </w:tc>
      </w:tr>
      <w:tr w:rsidR="00866383" w:rsidRPr="009C5E28" w:rsidTr="00866383">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866383" w:rsidRDefault="00866383" w:rsidP="00C676C7">
            <w:pPr>
              <w:spacing w:after="0" w:line="276" w:lineRule="auto"/>
              <w:jc w:val="center"/>
              <w:rPr>
                <w:sz w:val="20"/>
              </w:rPr>
            </w:pPr>
            <w:r>
              <w:rPr>
                <w:sz w:val="20"/>
              </w:rPr>
              <w:t>Butan</w:t>
            </w:r>
          </w:p>
        </w:tc>
        <w:tc>
          <w:tcPr>
            <w:tcW w:w="0" w:type="auto"/>
            <w:gridSpan w:val="3"/>
            <w:tcBorders>
              <w:top w:val="single" w:sz="8" w:space="0" w:color="4F81BD"/>
              <w:bottom w:val="single" w:sz="8" w:space="0" w:color="4F81BD"/>
            </w:tcBorders>
            <w:shd w:val="clear" w:color="auto" w:fill="auto"/>
            <w:vAlign w:val="center"/>
          </w:tcPr>
          <w:p w:rsidR="00866383" w:rsidRPr="009C5E28" w:rsidRDefault="00866383" w:rsidP="00C676C7">
            <w:pPr>
              <w:spacing w:after="0"/>
              <w:jc w:val="center"/>
              <w:rPr>
                <w:sz w:val="20"/>
              </w:rPr>
            </w:pPr>
            <w:r w:rsidRPr="002104A3">
              <w:rPr>
                <w:sz w:val="20"/>
              </w:rPr>
              <w:t>H220 H280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866383" w:rsidRPr="009C5E28" w:rsidRDefault="00866383" w:rsidP="00C676C7">
            <w:pPr>
              <w:spacing w:after="0"/>
              <w:jc w:val="center"/>
              <w:rPr>
                <w:sz w:val="20"/>
              </w:rPr>
            </w:pPr>
            <w:r w:rsidRPr="002104A3">
              <w:rPr>
                <w:sz w:val="20"/>
              </w:rPr>
              <w:t xml:space="preserve">P210 P403 P377 P381  </w:t>
            </w:r>
          </w:p>
        </w:tc>
      </w:tr>
      <w:tr w:rsidR="00866383" w:rsidRPr="009C5E28" w:rsidTr="00866383">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866383" w:rsidRDefault="00866383" w:rsidP="00C676C7">
            <w:pPr>
              <w:spacing w:after="0" w:line="276" w:lineRule="auto"/>
              <w:jc w:val="center"/>
              <w:rPr>
                <w:sz w:val="20"/>
              </w:rPr>
            </w:pPr>
            <w:r>
              <w:rPr>
                <w:sz w:val="20"/>
              </w:rPr>
              <w:t>Kupfer(II)-</w:t>
            </w:r>
            <w:proofErr w:type="spellStart"/>
            <w:r>
              <w:rPr>
                <w:sz w:val="20"/>
              </w:rPr>
              <w:t>oxid</w:t>
            </w:r>
            <w:proofErr w:type="spellEnd"/>
          </w:p>
        </w:tc>
        <w:tc>
          <w:tcPr>
            <w:tcW w:w="0" w:type="auto"/>
            <w:gridSpan w:val="3"/>
            <w:tcBorders>
              <w:top w:val="single" w:sz="8" w:space="0" w:color="4F81BD"/>
              <w:bottom w:val="single" w:sz="8" w:space="0" w:color="4F81BD"/>
            </w:tcBorders>
            <w:shd w:val="clear" w:color="auto" w:fill="auto"/>
            <w:vAlign w:val="center"/>
          </w:tcPr>
          <w:p w:rsidR="00866383" w:rsidRPr="002104A3" w:rsidRDefault="00866383" w:rsidP="00C676C7">
            <w:pPr>
              <w:spacing w:after="0"/>
              <w:jc w:val="center"/>
              <w:rPr>
                <w:sz w:val="20"/>
              </w:rPr>
            </w:pPr>
            <w:r w:rsidRPr="002104A3">
              <w:rPr>
                <w:sz w:val="20"/>
              </w:rPr>
              <w:t>H302 H410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866383" w:rsidRPr="002104A3" w:rsidRDefault="00866383" w:rsidP="00C676C7">
            <w:pPr>
              <w:spacing w:after="0"/>
              <w:jc w:val="center"/>
              <w:rPr>
                <w:sz w:val="20"/>
              </w:rPr>
            </w:pPr>
            <w:r w:rsidRPr="002104A3">
              <w:rPr>
                <w:sz w:val="20"/>
              </w:rPr>
              <w:t>P260 P273</w:t>
            </w:r>
          </w:p>
        </w:tc>
      </w:tr>
      <w:tr w:rsidR="00535312" w:rsidRPr="009C5E28" w:rsidTr="00866383">
        <w:tc>
          <w:tcPr>
            <w:tcW w:w="0" w:type="auto"/>
            <w:tcBorders>
              <w:top w:val="single" w:sz="8" w:space="0" w:color="4F81BD"/>
              <w:left w:val="single" w:sz="8" w:space="0" w:color="4F81BD"/>
              <w:bottom w:val="single" w:sz="8" w:space="0" w:color="4F81BD"/>
            </w:tcBorders>
            <w:shd w:val="clear" w:color="auto" w:fill="auto"/>
            <w:vAlign w:val="center"/>
          </w:tcPr>
          <w:p w:rsidR="00535312" w:rsidRPr="009C5E28" w:rsidRDefault="00535312"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5pt;height:39.75pt" o:ole="">
                  <v:imagedata r:id="rId5" o:title="" blacklevel="6554f" grayscale="t"/>
                </v:shape>
                <o:OLEObject Type="Embed" ProgID="PBrush" ShapeID="_x0000_i1028" DrawAspect="Content" ObjectID="_1470986188" r:id="rId6"/>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00" w:dyaOrig="10815">
                <v:shape id="_x0000_i1029" type="#_x0000_t75" style="width:39.75pt;height:39.75pt" o:ole="">
                  <v:imagedata r:id="rId7" o:title="" blacklevel="6554f" grayscale="t"/>
                </v:shape>
                <o:OLEObject Type="Embed" ProgID="PBrush" ShapeID="_x0000_i1029" DrawAspect="Content" ObjectID="_1470986189" r:id="rId8"/>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00" w:dyaOrig="10815">
                <v:shape id="_x0000_i1030" type="#_x0000_t75" style="width:39.75pt;height:39.75pt" o:ole="">
                  <v:imagedata r:id="rId9" o:title=""/>
                </v:shape>
                <o:OLEObject Type="Embed" ProgID="PBrush" ShapeID="_x0000_i1030" DrawAspect="Content" ObjectID="_1470986190" r:id="rId10"/>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15" w:dyaOrig="10800">
                <v:shape id="_x0000_i1031" type="#_x0000_t75" style="width:39.75pt;height:39.75pt" o:ole="">
                  <v:imagedata r:id="rId11" o:title="" blacklevel="6554f" grayscale="t"/>
                </v:shape>
                <o:OLEObject Type="Embed" ProgID="PBrush" ShapeID="_x0000_i1031" DrawAspect="Content" ObjectID="_1470986191" r:id="rId12"/>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15" w:dyaOrig="10815">
                <v:shape id="_x0000_i1032" type="#_x0000_t75" style="width:39.75pt;height:39.75pt" o:ole="">
                  <v:imagedata r:id="rId13" o:title=""/>
                </v:shape>
                <o:OLEObject Type="Embed" ProgID="PBrush" ShapeID="_x0000_i1032" DrawAspect="Content" ObjectID="_1470986192" r:id="rId14"/>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15" w:dyaOrig="10815">
                <v:shape id="_x0000_i1033" type="#_x0000_t75" style="width:38.25pt;height:38.25pt" o:ole="">
                  <v:imagedata r:id="rId15" o:title="" blacklevel="6554f" grayscale="t"/>
                </v:shape>
                <o:OLEObject Type="Embed" ProgID="PBrush" ShapeID="_x0000_i1033" DrawAspect="Content" ObjectID="_1470986193" r:id="rId16"/>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00" w:dyaOrig="10815">
                <v:shape id="_x0000_i1034" type="#_x0000_t75" style="width:37.5pt;height:37.5pt" o:ole="">
                  <v:imagedata r:id="rId17" o:title="" blacklevel="6554f" grayscale="t"/>
                </v:shape>
                <o:OLEObject Type="Embed" ProgID="PBrush" ShapeID="_x0000_i1034" DrawAspect="Content" ObjectID="_1470986194" r:id="rId18"/>
              </w:object>
            </w:r>
          </w:p>
        </w:tc>
        <w:tc>
          <w:tcPr>
            <w:tcW w:w="0" w:type="auto"/>
            <w:tcBorders>
              <w:top w:val="single" w:sz="8" w:space="0" w:color="4F81BD"/>
              <w:bottom w:val="single" w:sz="8" w:space="0" w:color="4F81BD"/>
            </w:tcBorders>
            <w:shd w:val="clear" w:color="auto" w:fill="auto"/>
            <w:vAlign w:val="center"/>
          </w:tcPr>
          <w:p w:rsidR="00535312" w:rsidRPr="009C5E28" w:rsidRDefault="00535312" w:rsidP="00A95BFC">
            <w:pPr>
              <w:spacing w:after="0"/>
              <w:jc w:val="center"/>
            </w:pPr>
            <w:r>
              <w:object w:dxaOrig="10815" w:dyaOrig="10800">
                <v:shape id="_x0000_i1035" type="#_x0000_t75" style="width:39.75pt;height:39.75pt" o:ole="">
                  <v:imagedata r:id="rId19" o:title=""/>
                </v:shape>
                <o:OLEObject Type="Embed" ProgID="PBrush" ShapeID="_x0000_i1035" DrawAspect="Content" ObjectID="_1470986195" r:id="rId20"/>
              </w:object>
            </w:r>
          </w:p>
        </w:tc>
        <w:tc>
          <w:tcPr>
            <w:tcW w:w="0" w:type="auto"/>
            <w:tcBorders>
              <w:top w:val="single" w:sz="8" w:space="0" w:color="4F81BD"/>
              <w:bottom w:val="single" w:sz="8" w:space="0" w:color="4F81BD"/>
              <w:right w:val="single" w:sz="8" w:space="0" w:color="4F81BD"/>
            </w:tcBorders>
            <w:shd w:val="clear" w:color="auto" w:fill="auto"/>
            <w:vAlign w:val="center"/>
          </w:tcPr>
          <w:p w:rsidR="00535312" w:rsidRPr="00BB0142" w:rsidRDefault="00535312" w:rsidP="00A95BFC">
            <w:pPr>
              <w:spacing w:after="0"/>
              <w:jc w:val="center"/>
              <w:rPr>
                <w:color w:val="FF0000"/>
              </w:rPr>
            </w:pPr>
            <w:r>
              <w:object w:dxaOrig="10815" w:dyaOrig="10800">
                <v:shape id="_x0000_i1036" type="#_x0000_t75" style="width:39pt;height:39pt" o:ole="">
                  <v:imagedata r:id="rId21" o:title=""/>
                </v:shape>
                <o:OLEObject Type="Embed" ProgID="PBrush" ShapeID="_x0000_i1036" DrawAspect="Content" ObjectID="_1470986196" r:id="rId22"/>
              </w:object>
            </w:r>
          </w:p>
        </w:tc>
      </w:tr>
    </w:tbl>
    <w:p w:rsidR="00866383" w:rsidRDefault="00866383" w:rsidP="00866383">
      <w:pPr>
        <w:tabs>
          <w:tab w:val="left" w:pos="1701"/>
          <w:tab w:val="left" w:pos="1985"/>
        </w:tabs>
        <w:ind w:left="1980" w:hanging="1980"/>
      </w:pPr>
    </w:p>
    <w:p w:rsidR="00866383" w:rsidRDefault="00866383" w:rsidP="00866383">
      <w:pPr>
        <w:tabs>
          <w:tab w:val="left" w:pos="1701"/>
          <w:tab w:val="left" w:pos="1985"/>
        </w:tabs>
        <w:ind w:left="1980" w:hanging="1980"/>
      </w:pPr>
      <w:r>
        <w:t xml:space="preserve">Materialien: </w:t>
      </w:r>
      <w:r>
        <w:tab/>
      </w:r>
      <w:r>
        <w:tab/>
        <w:t xml:space="preserve">Quarzrohr (8mm), 2 </w:t>
      </w:r>
      <w:proofErr w:type="spellStart"/>
      <w:r>
        <w:t>Kolbenprober</w:t>
      </w:r>
      <w:proofErr w:type="spellEnd"/>
      <w:r>
        <w:t xml:space="preserve"> (mit Hahn), Schlauchverbindungen, Schlauchschellen, Gasbrenner, 2 Stative, Stativmaterial </w:t>
      </w:r>
    </w:p>
    <w:p w:rsidR="00866383" w:rsidRPr="00ED07C2" w:rsidRDefault="00866383" w:rsidP="00866383">
      <w:pPr>
        <w:tabs>
          <w:tab w:val="left" w:pos="1701"/>
          <w:tab w:val="left" w:pos="1985"/>
        </w:tabs>
        <w:ind w:left="1980" w:hanging="1980"/>
      </w:pPr>
      <w:r>
        <w:t>Chemikalien:</w:t>
      </w:r>
      <w:r>
        <w:tab/>
      </w:r>
      <w:r>
        <w:tab/>
        <w:t>Methan, Butan, Kupfer(II)-</w:t>
      </w:r>
      <w:proofErr w:type="spellStart"/>
      <w:r>
        <w:t>oxid</w:t>
      </w:r>
      <w:proofErr w:type="spellEnd"/>
      <w:r>
        <w:t>, Quarzwolle</w:t>
      </w:r>
    </w:p>
    <w:p w:rsidR="00866383" w:rsidRDefault="00866383" w:rsidP="00866383">
      <w:pPr>
        <w:tabs>
          <w:tab w:val="left" w:pos="1701"/>
          <w:tab w:val="left" w:pos="1985"/>
        </w:tabs>
        <w:ind w:left="1980" w:hanging="1980"/>
      </w:pPr>
      <w:r>
        <w:t xml:space="preserve">Durchführung: </w:t>
      </w:r>
      <w:r>
        <w:tab/>
      </w:r>
      <w:r>
        <w:tab/>
        <w:t>Ein Quarzrohr wird mit Kupfer(II)-</w:t>
      </w:r>
      <w:proofErr w:type="spellStart"/>
      <w:r>
        <w:t>oxid</w:t>
      </w:r>
      <w:proofErr w:type="spellEnd"/>
      <w:r>
        <w:t xml:space="preserve"> </w:t>
      </w:r>
      <w:proofErr w:type="spellStart"/>
      <w:r>
        <w:t>befüllt</w:t>
      </w:r>
      <w:proofErr w:type="spellEnd"/>
      <w:r>
        <w:t xml:space="preserve"> und die Enden mit Quarzwolle verschlossen. Der Versuchsaufbau erfolgt analog zu Abbildung 1. Nachdem die Apparatur auf ihre Dichtheit überprüft wurde, kann mit dem eigentlichen Versuch begonnen werden. In einen der </w:t>
      </w:r>
      <w:proofErr w:type="spellStart"/>
      <w:r>
        <w:t>Kolbenprober</w:t>
      </w:r>
      <w:proofErr w:type="spellEnd"/>
      <w:r>
        <w:t xml:space="preserve"> werden 20 </w:t>
      </w:r>
      <w:proofErr w:type="spellStart"/>
      <w:r>
        <w:t>mL</w:t>
      </w:r>
      <w:proofErr w:type="spellEnd"/>
      <w:r>
        <w:t xml:space="preserve"> a) Methangas und b) Butangas gegeben. Mit dem Grasbrenner wird das Kupfer(II)-</w:t>
      </w:r>
      <w:proofErr w:type="spellStart"/>
      <w:r>
        <w:t>oxid</w:t>
      </w:r>
      <w:proofErr w:type="spellEnd"/>
      <w:r>
        <w:t xml:space="preserve"> im Quarzrohr zum Glühen gebracht und das Gas mehrere Male </w:t>
      </w:r>
      <w:proofErr w:type="spellStart"/>
      <w:r>
        <w:t>durchgeleitet</w:t>
      </w:r>
      <w:proofErr w:type="spellEnd"/>
      <w:r>
        <w:t>, bis keine Volumenveränderung mehr erkennbar ist. Diese soll nach Abkühlen notiert werden.</w:t>
      </w:r>
    </w:p>
    <w:p w:rsidR="00866383" w:rsidRDefault="00866383" w:rsidP="00866383">
      <w:pPr>
        <w:keepNext/>
        <w:tabs>
          <w:tab w:val="left" w:pos="1701"/>
          <w:tab w:val="left" w:pos="1985"/>
        </w:tabs>
        <w:ind w:left="1980" w:hanging="1980"/>
        <w:jc w:val="center"/>
      </w:pPr>
      <w:r>
        <w:rPr>
          <w:noProof/>
          <w:lang w:eastAsia="de-DE"/>
        </w:rPr>
        <w:lastRenderedPageBreak/>
        <w:drawing>
          <wp:inline distT="0" distB="0" distL="0" distR="0">
            <wp:extent cx="5760720" cy="2419985"/>
            <wp:effectExtent l="19050" t="0" r="0" b="0"/>
            <wp:docPr id="36" name="Grafik 35" descr="IMG_50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0a.jpg"/>
                    <pic:cNvPicPr/>
                  </pic:nvPicPr>
                  <pic:blipFill>
                    <a:blip r:embed="rId23" cstate="email"/>
                    <a:stretch>
                      <a:fillRect/>
                    </a:stretch>
                  </pic:blipFill>
                  <pic:spPr>
                    <a:xfrm>
                      <a:off x="0" y="0"/>
                      <a:ext cx="5760720" cy="2419985"/>
                    </a:xfrm>
                    <a:prstGeom prst="rect">
                      <a:avLst/>
                    </a:prstGeom>
                  </pic:spPr>
                </pic:pic>
              </a:graphicData>
            </a:graphic>
          </wp:inline>
        </w:drawing>
      </w:r>
    </w:p>
    <w:p w:rsidR="00866383" w:rsidRPr="00137425" w:rsidRDefault="00866383" w:rsidP="00866383">
      <w:pPr>
        <w:pStyle w:val="Beschriftung"/>
        <w:jc w:val="center"/>
      </w:pPr>
      <w:r>
        <w:t xml:space="preserve">Abbildung </w:t>
      </w:r>
      <w:fldSimple w:instr=" SEQ Abbildung \* ARABIC ">
        <w:r>
          <w:rPr>
            <w:noProof/>
          </w:rPr>
          <w:t>1</w:t>
        </w:r>
      </w:fldSimple>
      <w:r>
        <w:t>: Versuchsaufbau</w:t>
      </w:r>
    </w:p>
    <w:p w:rsidR="00866383" w:rsidRDefault="00866383" w:rsidP="00866383">
      <w:pPr>
        <w:tabs>
          <w:tab w:val="left" w:pos="1701"/>
          <w:tab w:val="left" w:pos="1985"/>
        </w:tabs>
        <w:ind w:left="1980" w:hanging="1980"/>
      </w:pPr>
      <w:r>
        <w:t>Beobachtung:</w:t>
      </w:r>
      <w:r>
        <w:tab/>
      </w:r>
      <w:r>
        <w:tab/>
        <w:t>a) Es ist keine Volumenveränderung zu beobachten.</w:t>
      </w:r>
    </w:p>
    <w:p w:rsidR="00866383" w:rsidRPr="00613D97" w:rsidRDefault="00866383" w:rsidP="00866383">
      <w:pPr>
        <w:tabs>
          <w:tab w:val="left" w:pos="1701"/>
        </w:tabs>
        <w:ind w:left="1980" w:hanging="1980"/>
      </w:pPr>
      <w:r>
        <w:tab/>
      </w:r>
      <w:r>
        <w:tab/>
        <w:t xml:space="preserve">b) Das Volumen steigt an auf 60 </w:t>
      </w:r>
      <w:proofErr w:type="spellStart"/>
      <w:r>
        <w:t>mL</w:t>
      </w:r>
      <w:proofErr w:type="spellEnd"/>
      <w:r>
        <w:t xml:space="preserve"> (hätte allerdings auf ca. 80 </w:t>
      </w:r>
      <w:proofErr w:type="spellStart"/>
      <w:r>
        <w:t>mL</w:t>
      </w:r>
      <w:proofErr w:type="spellEnd"/>
      <w:r>
        <w:t xml:space="preserve"> ansteigen sollen).</w:t>
      </w:r>
    </w:p>
    <w:p w:rsidR="00866383" w:rsidRDefault="00866383" w:rsidP="00866383">
      <w:pPr>
        <w:tabs>
          <w:tab w:val="left" w:pos="1985"/>
        </w:tabs>
        <w:ind w:left="1980" w:hanging="1980"/>
      </w:pPr>
      <w:r>
        <w:t xml:space="preserve">Deutung: </w:t>
      </w:r>
      <w:r>
        <w:tab/>
        <w:t>Im Quarzrohr kommt es durch Kupfer(II)-</w:t>
      </w:r>
      <w:proofErr w:type="spellStart"/>
      <w:r>
        <w:t>oxid</w:t>
      </w:r>
      <w:proofErr w:type="spellEnd"/>
      <w:r>
        <w:t xml:space="preserve"> zur Oxidation der Gase, wobei Kohlenstoffdioxid und Wasser entstehen:</w:t>
      </w:r>
    </w:p>
    <w:p w:rsidR="00866383" w:rsidRPr="00FD45C8" w:rsidRDefault="0033573C" w:rsidP="00866383">
      <w:pPr>
        <w:tabs>
          <w:tab w:val="left" w:pos="1985"/>
        </w:tabs>
        <w:ind w:left="1980" w:hanging="1980"/>
        <w:rPr>
          <w:rFonts w:eastAsiaTheme="minorEastAsia"/>
        </w:rP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y(g)</m:t>
              </m:r>
            </m:sub>
          </m:sSub>
          <m:r>
            <m:rPr>
              <m:sty m:val="p"/>
            </m:rPr>
            <w:rPr>
              <w:rFonts w:ascii="Cambria Math" w:hAnsi="Cambria Math"/>
            </w:rPr>
            <m:t xml:space="preserve">+z </m:t>
          </m:r>
          <m:sSub>
            <m:sSubPr>
              <m:ctrlPr>
                <w:rPr>
                  <w:rFonts w:ascii="Cambria Math" w:hAnsi="Cambria Math"/>
                </w:rPr>
              </m:ctrlPr>
            </m:sSubPr>
            <m:e>
              <m:r>
                <m:rPr>
                  <m:sty m:val="p"/>
                </m:rPr>
                <w:rPr>
                  <w:rFonts w:ascii="Cambria Math" w:hAnsi="Cambria Math"/>
                </w:rPr>
                <m:t>CuO</m:t>
              </m:r>
            </m:e>
            <m:sub>
              <m:r>
                <m:rPr>
                  <m:sty m:val="p"/>
                </m:rPr>
                <w:rPr>
                  <w:rFonts w:ascii="Cambria Math" w:hAnsi="Cambria Math"/>
                </w:rPr>
                <m:t>(s)</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2(g)</m:t>
              </m:r>
            </m:sub>
          </m:sSub>
          <m:r>
            <m:rPr>
              <m:sty m:val="p"/>
            </m:rPr>
            <w:rPr>
              <w:rFonts w:ascii="Cambria Math" w:hAnsi="Cambria Math"/>
            </w:rPr>
            <m:t>+</m:t>
          </m:r>
          <m:f>
            <m:fPr>
              <m:ctrlPr>
                <w:rPr>
                  <w:rFonts w:ascii="Cambria Math" w:hAnsi="Cambria Math"/>
                </w:rPr>
              </m:ctrlPr>
            </m:fPr>
            <m:num>
              <m:r>
                <m:rPr>
                  <m:sty m:val="p"/>
                </m:rPr>
                <w:rPr>
                  <w:rFonts w:ascii="Cambria Math" w:hAnsi="Cambria Math"/>
                </w:rPr>
                <m:t>y</m:t>
              </m:r>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+z </m:t>
          </m:r>
          <m:sSub>
            <m:sSubPr>
              <m:ctrlPr>
                <w:rPr>
                  <w:rFonts w:ascii="Cambria Math" w:hAnsi="Cambria Math"/>
                </w:rPr>
              </m:ctrlPr>
            </m:sSubPr>
            <m:e>
              <m:r>
                <m:rPr>
                  <m:sty m:val="p"/>
                </m:rPr>
                <w:rPr>
                  <w:rFonts w:ascii="Cambria Math" w:hAnsi="Cambria Math"/>
                </w:rPr>
                <m:t>Cu</m:t>
              </m:r>
            </m:e>
            <m:sub>
              <m:r>
                <m:rPr>
                  <m:sty m:val="p"/>
                </m:rPr>
                <w:rPr>
                  <w:rFonts w:ascii="Cambria Math" w:hAnsi="Cambria Math"/>
                </w:rPr>
                <m:t>(s)</m:t>
              </m:r>
            </m:sub>
          </m:sSub>
          <m:r>
            <m:rPr>
              <m:sty m:val="p"/>
            </m:rPr>
            <w:rPr>
              <w:rFonts w:ascii="Cambria Math" w:hAnsi="Cambria Math"/>
            </w:rPr>
            <m:t xml:space="preserve"> </m:t>
          </m:r>
        </m:oMath>
      </m:oMathPara>
    </w:p>
    <w:p w:rsidR="00866383" w:rsidRDefault="00866383" w:rsidP="00866383">
      <w:pPr>
        <w:tabs>
          <w:tab w:val="left" w:pos="1985"/>
        </w:tabs>
        <w:ind w:left="1980" w:firstLine="5"/>
        <w:rPr>
          <w:rFonts w:eastAsiaTheme="minorEastAsia"/>
        </w:rPr>
      </w:pPr>
      <w:r>
        <w:rPr>
          <w:rFonts w:eastAsiaTheme="minorEastAsia"/>
        </w:rPr>
        <w:t>Die Teilchenzahlverhältnisse sind gleich den Stoffmengenverhältnissen woraus folgt:</w:t>
      </w:r>
    </w:p>
    <w:p w:rsidR="00866383" w:rsidRPr="00FD45C8" w:rsidRDefault="00866383" w:rsidP="00866383">
      <w:pPr>
        <w:tabs>
          <w:tab w:val="left" w:pos="1985"/>
        </w:tabs>
        <w:ind w:left="1980" w:hanging="1980"/>
        <w:rPr>
          <w:rFonts w:eastAsiaTheme="minorEastAsia"/>
        </w:rPr>
      </w:pPr>
      <m:oMathPara>
        <m:oMath>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r>
            <m:rPr>
              <m:sty m:val="p"/>
            </m:rPr>
            <w:rPr>
              <w:rFonts w:ascii="Cambria Math" w:hAnsi="Cambria Math"/>
            </w:rPr>
            <m:t xml:space="preserve"> :n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r>
            <m:rPr>
              <m:sty m:val="p"/>
            </m:rPr>
            <w:rPr>
              <w:rFonts w:ascii="Cambria Math" w:hAnsi="Cambria Math"/>
            </w:rPr>
            <m:t>=1 :x</m:t>
          </m:r>
        </m:oMath>
      </m:oMathPara>
    </w:p>
    <w:p w:rsidR="00866383" w:rsidRPr="00FD45C8" w:rsidRDefault="00866383" w:rsidP="00866383">
      <w:pPr>
        <w:tabs>
          <w:tab w:val="left" w:pos="1985"/>
        </w:tabs>
        <w:ind w:left="1980" w:hanging="1980"/>
        <w:rPr>
          <w:rFonts w:eastAsiaTheme="minorEastAsia"/>
        </w:rPr>
      </w:pPr>
      <m:oMathPara>
        <m:oMath>
          <m:r>
            <m:rPr>
              <m:sty m:val="p"/>
            </m:rPr>
            <w:rPr>
              <w:rFonts w:ascii="Cambria Math" w:eastAsiaTheme="minorEastAsia" w:hAnsi="Cambria Math"/>
            </w:rPr>
            <m:t>x=</m:t>
          </m:r>
          <m:f>
            <m:fPr>
              <m:ctrlPr>
                <w:rPr>
                  <w:rFonts w:ascii="Cambria Math" w:eastAsiaTheme="minorEastAsia" w:hAnsi="Cambria Math"/>
                </w:rPr>
              </m:ctrlPr>
            </m:fPr>
            <m:num>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num>
            <m:den>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oMath>
      </m:oMathPara>
    </w:p>
    <w:p w:rsidR="006F2B8F" w:rsidRDefault="006F2B8F" w:rsidP="006F2B8F">
      <w:pPr>
        <w:tabs>
          <w:tab w:val="left" w:pos="1985"/>
        </w:tabs>
        <w:ind w:left="1980" w:firstLine="5"/>
        <w:rPr>
          <w:rFonts w:eastAsiaTheme="minorEastAsia"/>
        </w:rPr>
      </w:pPr>
      <w:r>
        <w:rPr>
          <w:rFonts w:eastAsiaTheme="minorEastAsia"/>
        </w:rPr>
        <w:t>Aus dem idealen Gasgesetz folgt bei konstant bleibender Temperatur und konstant bleibendem Druck folgende Proportionalität:</w:t>
      </w:r>
    </w:p>
    <w:p w:rsidR="00866383" w:rsidRPr="00FD45C8" w:rsidRDefault="006F2B8F" w:rsidP="00866383">
      <w:pPr>
        <w:tabs>
          <w:tab w:val="left" w:pos="1985"/>
        </w:tabs>
        <w:ind w:left="1980" w:hanging="1980"/>
        <w:rPr>
          <w:rFonts w:eastAsiaTheme="minorEastAsia"/>
        </w:rPr>
      </w:pPr>
      <m:oMathPara>
        <m:oMath>
          <m:r>
            <m:rPr>
              <m:sty m:val="p"/>
            </m:rPr>
            <w:rPr>
              <w:rFonts w:ascii="Cambria Math" w:eastAsiaTheme="minorEastAsia" w:hAnsi="Cambria Math"/>
            </w:rPr>
            <m:t>n=</m:t>
          </m:r>
          <m:f>
            <m:fPr>
              <m:ctrlPr>
                <w:rPr>
                  <w:rFonts w:ascii="Cambria Math" w:eastAsiaTheme="minorEastAsia" w:hAnsi="Cambria Math"/>
                </w:rPr>
              </m:ctrlPr>
            </m:fPr>
            <m:num>
              <m:sSub>
                <m:sSubPr>
                  <m:ctrlPr>
                    <w:rPr>
                      <w:rFonts w:ascii="Cambria Math" w:hAnsi="Cambria Math"/>
                    </w:rPr>
                  </m:ctrlPr>
                </m:sSubPr>
                <m:e>
                  <m:r>
                    <m:rPr>
                      <m:sty m:val="p"/>
                    </m:rPr>
                    <w:rPr>
                      <w:rFonts w:ascii="Cambria Math" w:hAnsi="Cambria Math"/>
                    </w:rPr>
                    <m:t>V</m:t>
                  </m:r>
                </m:e>
                <m: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sub>
              </m:sSub>
            </m:num>
            <m:den>
              <m:sSub>
                <m:sSubPr>
                  <m:ctrlPr>
                    <w:rPr>
                      <w:rFonts w:ascii="Cambria Math" w:hAnsi="Cambria Math"/>
                    </w:rPr>
                  </m:ctrlPr>
                </m:sSubPr>
                <m:e>
                  <m:r>
                    <m:rPr>
                      <m:sty m:val="p"/>
                    </m:rPr>
                    <w:rPr>
                      <w:rFonts w:ascii="Cambria Math" w:hAnsi="Cambria Math"/>
                    </w:rPr>
                    <m:t>V</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sub>
              </m:sSub>
            </m:den>
          </m:f>
        </m:oMath>
      </m:oMathPara>
    </w:p>
    <w:tbl>
      <w:tblPr>
        <w:tblStyle w:val="Tabellengitternetz"/>
        <w:tblW w:w="0" w:type="auto"/>
        <w:jc w:val="center"/>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2691"/>
      </w:tblGrid>
      <w:tr w:rsidR="00866383" w:rsidRPr="00FD45C8" w:rsidTr="00C676C7">
        <w:trPr>
          <w:trHeight w:val="336"/>
          <w:jc w:val="center"/>
        </w:trPr>
        <w:tc>
          <w:tcPr>
            <w:tcW w:w="0" w:type="auto"/>
          </w:tcPr>
          <w:p w:rsidR="00866383" w:rsidRPr="00FD45C8" w:rsidRDefault="00866383" w:rsidP="00C676C7">
            <w:pPr>
              <w:tabs>
                <w:tab w:val="left" w:pos="1985"/>
              </w:tabs>
              <w:jc w:val="left"/>
              <w:rPr>
                <w:rFonts w:eastAsiaTheme="minorEastAsia"/>
                <w:sz w:val="10"/>
                <w:szCs w:val="10"/>
              </w:rPr>
            </w:pPr>
          </w:p>
          <w:p w:rsidR="00866383" w:rsidRPr="00FD45C8" w:rsidRDefault="00866383" w:rsidP="00C676C7">
            <w:pPr>
              <w:tabs>
                <w:tab w:val="left" w:pos="1985"/>
              </w:tabs>
              <w:jc w:val="left"/>
              <w:rPr>
                <w:rFonts w:eastAsiaTheme="minorEastAsia"/>
              </w:rPr>
            </w:pPr>
            <w:r w:rsidRPr="00FD45C8">
              <w:rPr>
                <w:rFonts w:eastAsiaTheme="minorEastAsia"/>
              </w:rPr>
              <w:t>a)</w:t>
            </w:r>
          </w:p>
        </w:tc>
        <w:tc>
          <w:tcPr>
            <w:tcW w:w="0" w:type="auto"/>
          </w:tcPr>
          <w:p w:rsidR="00866383" w:rsidRPr="00FD45C8" w:rsidRDefault="00866383" w:rsidP="00C676C7">
            <w:pPr>
              <w:tabs>
                <w:tab w:val="left" w:pos="1985"/>
              </w:tabs>
              <w:rPr>
                <w:rFonts w:eastAsiaTheme="minorEastAsia"/>
              </w:rPr>
            </w:pPr>
            <m:oMathPara>
              <m:oMath>
                <m:r>
                  <m:rPr>
                    <m:sty m:val="p"/>
                  </m:rPr>
                  <w:rPr>
                    <w:rFonts w:ascii="Cambria Math" w:eastAsiaTheme="minorEastAsia" w:hAnsi="Cambria Math"/>
                  </w:rPr>
                  <m:t>x=</m:t>
                </m:r>
                <m:f>
                  <m:fPr>
                    <m:ctrlPr>
                      <w:rPr>
                        <w:rFonts w:ascii="Cambria Math" w:eastAsiaTheme="minorEastAsia" w:hAnsi="Cambria Math"/>
                      </w:rPr>
                    </m:ctrlPr>
                  </m:fPr>
                  <m:num>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num>
                  <m:den>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20 mL</m:t>
                    </m:r>
                  </m:num>
                  <m:den>
                    <m:r>
                      <m:rPr>
                        <m:sty m:val="p"/>
                      </m:rPr>
                      <w:rPr>
                        <w:rFonts w:ascii="Cambria Math" w:eastAsiaTheme="minorEastAsia" w:hAnsi="Cambria Math"/>
                      </w:rPr>
                      <m:t>20 mL</m:t>
                    </m:r>
                  </m:den>
                </m:f>
                <m:r>
                  <m:rPr>
                    <m:sty m:val="p"/>
                  </m:rPr>
                  <w:rPr>
                    <w:rFonts w:ascii="Cambria Math" w:eastAsiaTheme="minorEastAsia" w:hAnsi="Cambria Math"/>
                  </w:rPr>
                  <m:t>=1</m:t>
                </m:r>
              </m:oMath>
            </m:oMathPara>
          </w:p>
        </w:tc>
      </w:tr>
      <w:tr w:rsidR="00866383" w:rsidRPr="00FD45C8" w:rsidTr="00C676C7">
        <w:trPr>
          <w:jc w:val="center"/>
        </w:trPr>
        <w:tc>
          <w:tcPr>
            <w:tcW w:w="0" w:type="auto"/>
          </w:tcPr>
          <w:p w:rsidR="00866383" w:rsidRPr="00FD45C8" w:rsidRDefault="00866383" w:rsidP="00C676C7">
            <w:pPr>
              <w:tabs>
                <w:tab w:val="left" w:pos="1985"/>
              </w:tabs>
              <w:rPr>
                <w:rFonts w:eastAsiaTheme="minorEastAsia"/>
                <w:sz w:val="10"/>
                <w:szCs w:val="10"/>
              </w:rPr>
            </w:pPr>
          </w:p>
          <w:p w:rsidR="00866383" w:rsidRPr="00FD45C8" w:rsidRDefault="00866383" w:rsidP="00C676C7">
            <w:pPr>
              <w:tabs>
                <w:tab w:val="left" w:pos="1985"/>
              </w:tabs>
              <w:rPr>
                <w:rFonts w:eastAsiaTheme="minorEastAsia"/>
              </w:rPr>
            </w:pPr>
            <w:r w:rsidRPr="00FD45C8">
              <w:rPr>
                <w:rFonts w:eastAsiaTheme="minorEastAsia"/>
              </w:rPr>
              <w:t>b)</w:t>
            </w:r>
          </w:p>
        </w:tc>
        <w:tc>
          <w:tcPr>
            <w:tcW w:w="0" w:type="auto"/>
          </w:tcPr>
          <w:p w:rsidR="00866383" w:rsidRPr="00FD45C8" w:rsidRDefault="00866383" w:rsidP="00C676C7">
            <w:pPr>
              <w:tabs>
                <w:tab w:val="left" w:pos="1985"/>
              </w:tabs>
              <w:rPr>
                <w:rFonts w:eastAsiaTheme="minorEastAsia"/>
              </w:rPr>
            </w:pPr>
            <m:oMathPara>
              <m:oMath>
                <m:r>
                  <m:rPr>
                    <m:sty m:val="p"/>
                  </m:rPr>
                  <w:rPr>
                    <w:rFonts w:ascii="Cambria Math" w:eastAsiaTheme="minorEastAsia" w:hAnsi="Cambria Math"/>
                  </w:rPr>
                  <m:t>x=</m:t>
                </m:r>
                <m:f>
                  <m:fPr>
                    <m:ctrlPr>
                      <w:rPr>
                        <w:rFonts w:ascii="Cambria Math" w:eastAsiaTheme="minorEastAsia" w:hAnsi="Cambria Math"/>
                      </w:rPr>
                    </m:ctrlPr>
                  </m:fPr>
                  <m:num>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num>
                  <m:den>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60 mL</m:t>
                    </m:r>
                  </m:num>
                  <m:den>
                    <m:r>
                      <m:rPr>
                        <m:sty m:val="p"/>
                      </m:rPr>
                      <w:rPr>
                        <w:rFonts w:ascii="Cambria Math" w:eastAsiaTheme="minorEastAsia" w:hAnsi="Cambria Math"/>
                      </w:rPr>
                      <m:t>20 mL</m:t>
                    </m:r>
                  </m:den>
                </m:f>
                <m:r>
                  <m:rPr>
                    <m:sty m:val="p"/>
                  </m:rPr>
                  <w:rPr>
                    <w:rFonts w:ascii="Cambria Math" w:eastAsiaTheme="minorEastAsia" w:hAnsi="Cambria Math"/>
                  </w:rPr>
                  <m:t>=3</m:t>
                </m:r>
              </m:oMath>
            </m:oMathPara>
          </w:p>
        </w:tc>
      </w:tr>
    </w:tbl>
    <w:p w:rsidR="00866383" w:rsidRDefault="00866383" w:rsidP="00866383">
      <w:pPr>
        <w:tabs>
          <w:tab w:val="left" w:pos="1985"/>
        </w:tabs>
        <w:ind w:left="1980" w:hanging="1980"/>
        <w:rPr>
          <w:rFonts w:eastAsiaTheme="minorEastAsia"/>
        </w:rPr>
      </w:pPr>
    </w:p>
    <w:p w:rsidR="00866383" w:rsidRDefault="00866383" w:rsidP="00866383">
      <w:pPr>
        <w:tabs>
          <w:tab w:val="left" w:pos="1985"/>
        </w:tabs>
        <w:ind w:left="1980" w:hanging="1980"/>
        <w:rPr>
          <w:rFonts w:eastAsiaTheme="minorEastAsia"/>
        </w:rPr>
      </w:pPr>
      <w:r>
        <w:rPr>
          <w:rFonts w:eastAsiaTheme="minorEastAsia"/>
        </w:rPr>
        <w:lastRenderedPageBreak/>
        <w:tab/>
        <w:t xml:space="preserve">Kohlenwasserstoff a) enthält ein Kohlenstoffatom, Kohlenwasserstoff b) enthält drei, hätte allerdings vier enthalten sollen. </w:t>
      </w:r>
    </w:p>
    <w:p w:rsidR="00866383" w:rsidRDefault="00866383" w:rsidP="00866383">
      <w:pPr>
        <w:tabs>
          <w:tab w:val="left" w:pos="1985"/>
        </w:tabs>
        <w:ind w:left="1980" w:hanging="1980"/>
        <w:rPr>
          <w:rFonts w:eastAsiaTheme="minorEastAsia"/>
        </w:rPr>
      </w:pPr>
      <w:r>
        <w:rPr>
          <w:rFonts w:eastAsiaTheme="minorEastAsia"/>
        </w:rPr>
        <w:t xml:space="preserve">Fehlerbetrachtung: </w:t>
      </w:r>
      <w:r>
        <w:rPr>
          <w:rFonts w:eastAsiaTheme="minorEastAsia"/>
        </w:rPr>
        <w:tab/>
        <w:t>Bei b) Butan kann es zu einem fehlerhaften Volumen gekommen sein, da die Apparatur nicht vollständig dicht war oder nicht genug Kupfer(II)-</w:t>
      </w:r>
      <w:proofErr w:type="spellStart"/>
      <w:r>
        <w:rPr>
          <w:rFonts w:eastAsiaTheme="minorEastAsia"/>
        </w:rPr>
        <w:t>oxid</w:t>
      </w:r>
      <w:proofErr w:type="spellEnd"/>
      <w:r>
        <w:rPr>
          <w:rFonts w:eastAsiaTheme="minorEastAsia"/>
        </w:rPr>
        <w:t xml:space="preserve"> zur Oxidation zur Verfügung stand.</w:t>
      </w:r>
    </w:p>
    <w:p w:rsidR="00866383" w:rsidRPr="001A140E" w:rsidRDefault="0033573C" w:rsidP="00866383">
      <w:pPr>
        <w:tabs>
          <w:tab w:val="left" w:pos="1701"/>
          <w:tab w:val="left" w:pos="1985"/>
        </w:tabs>
        <w:ind w:left="1980" w:hanging="1980"/>
        <w:jc w:val="center"/>
      </w:pPr>
      <w:r>
        <w:pict>
          <v:shape id="_x0000_s1032" type="#_x0000_t202" style="width:462.45pt;height:40pt;mso-position-horizontal-relative:char;mso-position-vertical-relative:line;mso-width-relative:margin;mso-height-relative:margin" fillcolor="white [3201]" strokecolor="#c0504d [3205]" strokeweight="1pt">
            <v:stroke dashstyle="dash"/>
            <v:shadow color="#868686"/>
            <v:textbox style="mso-next-textbox:#_x0000_s1032">
              <w:txbxContent>
                <w:p w:rsidR="00866383" w:rsidRPr="00BD2A55" w:rsidRDefault="00866383" w:rsidP="00866383">
                  <w:pPr>
                    <w:rPr>
                      <w:color w:val="1F497D" w:themeColor="text2"/>
                    </w:rPr>
                  </w:pPr>
                  <w:r>
                    <w:rPr>
                      <w:color w:val="1F497D" w:themeColor="text2"/>
                    </w:rPr>
                    <w:t>Kupfer sollte zur erneuten Verwendung oxidiert werden, indem Luft durch das Quarzrohr geleitet und Kupfer dabei erhitzt wird.</w:t>
                  </w:r>
                </w:p>
                <w:p w:rsidR="00866383" w:rsidRDefault="00866383" w:rsidP="00866383">
                  <w:pPr>
                    <w:rPr>
                      <w:b/>
                      <w:color w:val="1F497D" w:themeColor="text2"/>
                    </w:rPr>
                  </w:pPr>
                </w:p>
                <w:p w:rsidR="00866383" w:rsidRDefault="00866383" w:rsidP="00866383">
                  <w:pPr>
                    <w:rPr>
                      <w:b/>
                      <w:color w:val="1F497D" w:themeColor="text2"/>
                    </w:rPr>
                  </w:pPr>
                </w:p>
                <w:p w:rsidR="00866383" w:rsidRPr="000D10FB" w:rsidRDefault="00866383" w:rsidP="00866383">
                  <w:pPr>
                    <w:rPr>
                      <w:color w:val="1F497D" w:themeColor="text2"/>
                    </w:rPr>
                  </w:pPr>
                  <w:r>
                    <w:rPr>
                      <w:b/>
                      <w:color w:val="1F497D" w:themeColor="text2"/>
                    </w:rPr>
                    <w:t xml:space="preserve"> </w:t>
                  </w:r>
                </w:p>
              </w:txbxContent>
            </v:textbox>
            <w10:wrap type="none"/>
            <w10:anchorlock/>
          </v:shape>
        </w:pict>
      </w:r>
    </w:p>
    <w:p w:rsidR="00866383" w:rsidRDefault="0033573C" w:rsidP="00866383">
      <w:pPr>
        <w:spacing w:line="276" w:lineRule="auto"/>
        <w:jc w:val="left"/>
      </w:pPr>
      <w:r>
        <w:pict>
          <v:shape id="_x0000_s1031" type="#_x0000_t202" style="width:462.45pt;height:88.7pt;mso-position-horizontal-relative:char;mso-position-vertical-relative:line;mso-width-relative:margin;mso-height-relative:margin" fillcolor="white [3201]" strokecolor="#c0504d [3205]" strokeweight="1pt">
            <v:stroke dashstyle="dash"/>
            <v:shadow color="#868686"/>
            <v:textbox style="mso-next-textbox:#_x0000_s1031">
              <w:txbxContent>
                <w:p w:rsidR="00866383" w:rsidRDefault="00866383" w:rsidP="00866383">
                  <w:pPr>
                    <w:rPr>
                      <w:color w:val="1F497D" w:themeColor="text2"/>
                    </w:rPr>
                  </w:pPr>
                  <w:r>
                    <w:rPr>
                      <w:color w:val="1F497D" w:themeColor="text2"/>
                    </w:rPr>
                    <w:t>Der Versuch kann in das Thema Kohlenwasserstoffe eingebettet werden, um einen analytischen Praxisbezug zu geben.</w:t>
                  </w:r>
                </w:p>
                <w:p w:rsidR="00866383" w:rsidRDefault="00866383" w:rsidP="00866383">
                  <w:pPr>
                    <w:rPr>
                      <w:color w:val="1F497D" w:themeColor="text2"/>
                    </w:rPr>
                  </w:pPr>
                  <w:r>
                    <w:rPr>
                      <w:color w:val="1F497D" w:themeColor="text2"/>
                    </w:rPr>
                    <w:t xml:space="preserve">Alternativ können auch andere Kohlenwasserstoffe, wie </w:t>
                  </w:r>
                  <w:proofErr w:type="spellStart"/>
                  <w:r>
                    <w:rPr>
                      <w:color w:val="1F497D" w:themeColor="text2"/>
                    </w:rPr>
                    <w:t>Ethen</w:t>
                  </w:r>
                  <w:proofErr w:type="spellEnd"/>
                  <w:r>
                    <w:rPr>
                      <w:color w:val="1F497D" w:themeColor="text2"/>
                    </w:rPr>
                    <w:t xml:space="preserve"> oder Propan zur Analyse verwendet werden.</w:t>
                  </w:r>
                </w:p>
                <w:p w:rsidR="00866383" w:rsidRPr="00BD2A55" w:rsidRDefault="00866383" w:rsidP="00866383">
                  <w:pPr>
                    <w:rPr>
                      <w:color w:val="1F497D" w:themeColor="text2"/>
                    </w:rPr>
                  </w:pPr>
                </w:p>
                <w:p w:rsidR="00866383" w:rsidRDefault="00866383" w:rsidP="00866383">
                  <w:pPr>
                    <w:rPr>
                      <w:b/>
                      <w:color w:val="1F497D" w:themeColor="text2"/>
                    </w:rPr>
                  </w:pPr>
                </w:p>
                <w:p w:rsidR="00866383" w:rsidRPr="000D10FB" w:rsidRDefault="00866383" w:rsidP="00866383">
                  <w:pPr>
                    <w:rPr>
                      <w:color w:val="1F497D" w:themeColor="text2"/>
                    </w:rPr>
                  </w:pPr>
                  <w:r>
                    <w:rPr>
                      <w:b/>
                      <w:color w:val="1F497D" w:themeColor="text2"/>
                    </w:rPr>
                    <w:t xml:space="preserve"> </w:t>
                  </w:r>
                </w:p>
              </w:txbxContent>
            </v:textbox>
            <w10:wrap type="none"/>
            <w10:anchorlock/>
          </v:shape>
        </w:pict>
      </w:r>
    </w:p>
    <w:p w:rsidR="00866383" w:rsidRDefault="0033573C" w:rsidP="00866383">
      <w:pPr>
        <w:spacing w:line="276" w:lineRule="auto"/>
        <w:jc w:val="left"/>
      </w:pPr>
      <w:r>
        <w:pict>
          <v:shape id="_x0000_s1030" type="#_x0000_t202" style="width:462.45pt;height:40pt;mso-position-horizontal-relative:char;mso-position-vertical-relative:line;mso-width-relative:margin;mso-height-relative:margin" fillcolor="white [3201]" strokecolor="#c0504d [3205]" strokeweight="1pt">
            <v:stroke dashstyle="dash"/>
            <v:shadow color="#868686"/>
            <v:textbox style="mso-next-textbox:#_x0000_s1030">
              <w:txbxContent>
                <w:p w:rsidR="00866383" w:rsidRDefault="00866383" w:rsidP="00866383">
                  <w:pPr>
                    <w:rPr>
                      <w:b/>
                      <w:color w:val="1F497D" w:themeColor="text2"/>
                    </w:rPr>
                  </w:pPr>
                  <w:r>
                    <w:rPr>
                      <w:color w:val="1F497D" w:themeColor="text2"/>
                    </w:rPr>
                    <w:t>Das Experiment kann als Einstieg in die quantitative Analyse verwendet werden. Es bietet sich als Exkurs im Thema Kohlenwasserstoffe an.</w:t>
                  </w:r>
                </w:p>
                <w:p w:rsidR="00866383" w:rsidRDefault="00866383" w:rsidP="00866383">
                  <w:pPr>
                    <w:rPr>
                      <w:b/>
                      <w:color w:val="1F497D" w:themeColor="text2"/>
                    </w:rPr>
                  </w:pPr>
                </w:p>
                <w:p w:rsidR="00866383" w:rsidRPr="000D10FB" w:rsidRDefault="00866383" w:rsidP="00866383">
                  <w:pPr>
                    <w:rPr>
                      <w:color w:val="1F497D" w:themeColor="text2"/>
                    </w:rPr>
                  </w:pPr>
                  <w:r>
                    <w:rPr>
                      <w:b/>
                      <w:color w:val="1F497D" w:themeColor="text2"/>
                    </w:rPr>
                    <w:t xml:space="preserve"> </w:t>
                  </w:r>
                </w:p>
              </w:txbxContent>
            </v:textbox>
            <w10:wrap type="none"/>
            <w10:anchorlock/>
          </v:shape>
        </w:pict>
      </w:r>
    </w:p>
    <w:p w:rsidR="00866383" w:rsidRDefault="00866383" w:rsidP="00866383">
      <w:pPr>
        <w:spacing w:line="276" w:lineRule="auto"/>
        <w:ind w:left="1985" w:hanging="1985"/>
        <w:jc w:val="left"/>
        <w:rPr>
          <w:rFonts w:asciiTheme="majorHAnsi" w:hAnsiTheme="majorHAnsi"/>
        </w:rPr>
      </w:pPr>
      <w:r>
        <w:t>Literatur:</w:t>
      </w:r>
      <w:r>
        <w:tab/>
      </w:r>
      <w:r>
        <w:rPr>
          <w:rFonts w:asciiTheme="majorHAnsi" w:hAnsiTheme="majorHAnsi"/>
        </w:rPr>
        <w:t xml:space="preserve">[1] W. Glöckner, W. Jansen, R. G. </w:t>
      </w:r>
      <w:proofErr w:type="spellStart"/>
      <w:r>
        <w:rPr>
          <w:rFonts w:asciiTheme="majorHAnsi" w:hAnsiTheme="majorHAnsi"/>
        </w:rPr>
        <w:t>Weissenhorn</w:t>
      </w:r>
      <w:proofErr w:type="spellEnd"/>
      <w:r>
        <w:rPr>
          <w:rFonts w:asciiTheme="majorHAnsi" w:hAnsiTheme="majorHAnsi"/>
        </w:rPr>
        <w:t xml:space="preserve"> (Hrsg.), Handbuch der experimentellen Chemie – Sekundarstufe II, Band 9: Kohlenwasserstoffe, </w:t>
      </w:r>
      <w:proofErr w:type="spellStart"/>
      <w:r>
        <w:rPr>
          <w:rFonts w:asciiTheme="majorHAnsi" w:hAnsiTheme="majorHAnsi"/>
        </w:rPr>
        <w:t>Alius</w:t>
      </w:r>
      <w:proofErr w:type="spellEnd"/>
      <w:r>
        <w:rPr>
          <w:rFonts w:asciiTheme="majorHAnsi" w:hAnsiTheme="majorHAnsi"/>
        </w:rPr>
        <w:t xml:space="preserve"> Verlag </w:t>
      </w:r>
      <w:proofErr w:type="spellStart"/>
      <w:r>
        <w:rPr>
          <w:rFonts w:asciiTheme="majorHAnsi" w:hAnsiTheme="majorHAnsi"/>
        </w:rPr>
        <w:t>Deubner</w:t>
      </w:r>
      <w:proofErr w:type="spellEnd"/>
      <w:r>
        <w:rPr>
          <w:rFonts w:asciiTheme="majorHAnsi" w:hAnsiTheme="majorHAnsi"/>
        </w:rPr>
        <w:t>, 2005, S. 58/9</w:t>
      </w:r>
    </w:p>
    <w:p w:rsidR="002E7384" w:rsidRDefault="002E7384"/>
    <w:sectPr w:rsidR="002E7384" w:rsidSect="002E73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383"/>
    <w:rsid w:val="001310DC"/>
    <w:rsid w:val="002E7384"/>
    <w:rsid w:val="0033573C"/>
    <w:rsid w:val="00535312"/>
    <w:rsid w:val="006F2B8F"/>
    <w:rsid w:val="00866383"/>
    <w:rsid w:val="00B4135B"/>
    <w:rsid w:val="00D75DB9"/>
    <w:rsid w:val="00F547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638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6638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6638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6638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6638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6638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6638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663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663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663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638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38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38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6638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6638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6638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6638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638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38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66383"/>
    <w:pPr>
      <w:spacing w:line="240" w:lineRule="auto"/>
    </w:pPr>
    <w:rPr>
      <w:bCs/>
      <w:color w:val="auto"/>
      <w:sz w:val="18"/>
      <w:szCs w:val="18"/>
    </w:rPr>
  </w:style>
  <w:style w:type="table" w:styleId="Tabellengitternetz">
    <w:name w:val="Table Grid"/>
    <w:basedOn w:val="NormaleTabelle"/>
    <w:uiPriority w:val="59"/>
    <w:rsid w:val="0086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66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38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2155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3</cp:revision>
  <dcterms:created xsi:type="dcterms:W3CDTF">2014-08-26T15:20:00Z</dcterms:created>
  <dcterms:modified xsi:type="dcterms:W3CDTF">2014-08-31T08:29:00Z</dcterms:modified>
</cp:coreProperties>
</file>