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18" w:rsidRPr="008D5318" w:rsidRDefault="00D80844" w:rsidP="008D5318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r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25pt;margin-top:49.15pt;width:462.45pt;height:171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9">
              <w:txbxContent>
                <w:p w:rsidR="00345F7E" w:rsidRPr="00A63A57" w:rsidRDefault="00345F7E" w:rsidP="00345F7E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In diesem Experiment kann die molare Masse von Kohlenwasserstoffen einfach durch eine grafische Auftragung bestimmt werden. Die Proportionalität zwischen den Gasen ergibt sich dabei (</w:t>
                  </w:r>
                  <w:r w:rsidRPr="00A63A57">
                    <w:rPr>
                      <w:color w:val="1F497D" w:themeColor="text2"/>
                    </w:rPr>
                    <w:t>bei konstant bleibender Temperatur und konstan</w:t>
                  </w:r>
                  <w:r>
                    <w:rPr>
                      <w:color w:val="1F497D" w:themeColor="text2"/>
                    </w:rPr>
                    <w:t>tem</w:t>
                  </w:r>
                  <w:r w:rsidRPr="00A63A57">
                    <w:rPr>
                      <w:color w:val="1F497D" w:themeColor="text2"/>
                    </w:rPr>
                    <w:t xml:space="preserve"> Druck</w:t>
                  </w:r>
                  <w:r>
                    <w:rPr>
                      <w:color w:val="1F497D" w:themeColor="text2"/>
                    </w:rPr>
                    <w:t>) a</w:t>
                  </w:r>
                  <w:r w:rsidRPr="00A63A57">
                    <w:rPr>
                      <w:color w:val="1F497D" w:themeColor="text2"/>
                    </w:rPr>
                    <w:t>us dem idealen Gasg</w:t>
                  </w:r>
                  <w:r w:rsidRPr="00A63A57">
                    <w:rPr>
                      <w:color w:val="1F497D" w:themeColor="text2"/>
                    </w:rPr>
                    <w:t>e</w:t>
                  </w:r>
                  <w:r w:rsidRPr="00A63A57">
                    <w:rPr>
                      <w:color w:val="1F497D" w:themeColor="text2"/>
                    </w:rPr>
                    <w:t>setz</w:t>
                  </w:r>
                  <w:r>
                    <w:rPr>
                      <w:color w:val="1F497D" w:themeColor="text2"/>
                    </w:rPr>
                    <w:t>.</w:t>
                  </w:r>
                </w:p>
                <w:p w:rsidR="008D5318" w:rsidRPr="000D10FB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Auch hier sollten die SuS zur Durchführung über grundlegende Kenntnisse über Kohlenwasserstoffe verfügen (Eigenschaften, Nomenklatur, homologe Reihe, Strukturisomerie). Zudem werden mathematische Kenntnisse zur Erstellung von Auftragungen und </w:t>
                  </w:r>
                  <w:proofErr w:type="spellStart"/>
                  <w:r>
                    <w:rPr>
                      <w:color w:val="1F497D" w:themeColor="text2"/>
                    </w:rPr>
                    <w:t>Geradengleichungen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vorausgesetzt.</w:t>
                  </w:r>
                </w:p>
              </w:txbxContent>
            </v:textbox>
            <w10:wrap type="square"/>
          </v:shape>
        </w:pict>
      </w:r>
      <w:bookmarkStart w:id="0" w:name="_Toc396805091"/>
      <w:r w:rsidR="008D5318" w:rsidRPr="008D5318">
        <w:rPr>
          <w:sz w:val="28"/>
        </w:rPr>
        <w:t>V 2 – Ermittlung der molaren Masse von Butan</w:t>
      </w:r>
      <w:bookmarkEnd w:id="0"/>
    </w:p>
    <w:p w:rsidR="008D5318" w:rsidRDefault="008D5318" w:rsidP="008D5318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016"/>
        <w:gridCol w:w="1016"/>
        <w:gridCol w:w="1016"/>
        <w:gridCol w:w="1017"/>
        <w:gridCol w:w="1017"/>
        <w:gridCol w:w="984"/>
        <w:gridCol w:w="962"/>
        <w:gridCol w:w="1017"/>
        <w:gridCol w:w="995"/>
      </w:tblGrid>
      <w:tr w:rsidR="008D5318" w:rsidRPr="009C5E28" w:rsidTr="008D5318">
        <w:tc>
          <w:tcPr>
            <w:tcW w:w="0" w:type="auto"/>
            <w:gridSpan w:val="9"/>
            <w:shd w:val="clear" w:color="auto" w:fill="4F81BD"/>
            <w:vAlign w:val="center"/>
          </w:tcPr>
          <w:p w:rsidR="008D5318" w:rsidRPr="009C5E28" w:rsidRDefault="008D5318" w:rsidP="00C676C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D5318" w:rsidRPr="009C5E28" w:rsidTr="008D5318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9C5E28" w:rsidRDefault="008D5318" w:rsidP="00C676C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n-Butan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9C5E28" w:rsidRDefault="008D5318" w:rsidP="00C676C7">
            <w:pPr>
              <w:spacing w:after="0"/>
              <w:jc w:val="center"/>
              <w:rPr>
                <w:sz w:val="20"/>
              </w:rPr>
            </w:pPr>
            <w:r w:rsidRPr="002104A3">
              <w:rPr>
                <w:sz w:val="20"/>
              </w:rPr>
              <w:t>H220 H280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5318" w:rsidRPr="009C5E28" w:rsidRDefault="008D5318" w:rsidP="00C676C7">
            <w:pPr>
              <w:spacing w:after="0"/>
              <w:jc w:val="center"/>
              <w:rPr>
                <w:sz w:val="20"/>
              </w:rPr>
            </w:pPr>
            <w:r w:rsidRPr="002104A3">
              <w:rPr>
                <w:sz w:val="20"/>
              </w:rPr>
              <w:t xml:space="preserve">P210 P403 P377 P381  </w:t>
            </w:r>
          </w:p>
        </w:tc>
      </w:tr>
      <w:tr w:rsidR="008D5318" w:rsidRPr="009C5E28" w:rsidTr="008D5318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Default="008D5318" w:rsidP="00C676C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Kohlenstoffdioxid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 xml:space="preserve">H280 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>P403</w:t>
            </w:r>
          </w:p>
        </w:tc>
      </w:tr>
      <w:tr w:rsidR="008D5318" w:rsidRPr="009C5E28" w:rsidTr="008D5318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Default="008D5318" w:rsidP="00C676C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Stickstoff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>H280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>P403</w:t>
            </w:r>
          </w:p>
        </w:tc>
      </w:tr>
      <w:tr w:rsidR="008D5318" w:rsidRPr="009C5E28" w:rsidTr="008D5318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Default="008D5318" w:rsidP="00C676C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Sauerstoff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>H270 H280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5318" w:rsidRPr="002104A3" w:rsidRDefault="008D5318" w:rsidP="00C676C7">
            <w:pPr>
              <w:spacing w:after="0"/>
              <w:jc w:val="center"/>
              <w:rPr>
                <w:sz w:val="20"/>
              </w:rPr>
            </w:pPr>
            <w:r w:rsidRPr="00864AF0">
              <w:rPr>
                <w:sz w:val="20"/>
              </w:rPr>
              <w:t>P220 P403 P244 P370+P376</w:t>
            </w:r>
          </w:p>
        </w:tc>
      </w:tr>
      <w:tr w:rsidR="008D5318" w:rsidRPr="009C5E28" w:rsidTr="008D5318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Default="008D5318" w:rsidP="00C676C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Helium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5318" w:rsidRPr="00864AF0" w:rsidRDefault="008D5318" w:rsidP="00C676C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H280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5318" w:rsidRPr="00864AF0" w:rsidRDefault="008D5318" w:rsidP="00C676C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P410+P403</w:t>
            </w:r>
          </w:p>
        </w:tc>
      </w:tr>
      <w:tr w:rsidR="00305475" w:rsidRPr="009C5E28" w:rsidTr="008D5318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  <w:rPr>
                <w:b/>
                <w:bCs/>
              </w:rPr>
            </w:pPr>
            <w:r>
              <w:object w:dxaOrig="10800" w:dyaOrig="10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9.75pt;height:39.75pt" o:ole="">
                  <v:imagedata r:id="rId5" o:title="" blacklevel="6554f" grayscale="t"/>
                </v:shape>
                <o:OLEObject Type="Embed" ProgID="PBrush" ShapeID="_x0000_i1028" DrawAspect="Content" ObjectID="_1470986403" r:id="rId6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00" w:dyaOrig="10815">
                <v:shape id="_x0000_i1029" type="#_x0000_t75" style="width:39.75pt;height:39.75pt" o:ole="">
                  <v:imagedata r:id="rId7" o:title=""/>
                </v:shape>
                <o:OLEObject Type="Embed" ProgID="PBrush" ShapeID="_x0000_i1029" DrawAspect="Content" ObjectID="_1470986404" r:id="rId8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00" w:dyaOrig="10815">
                <v:shape id="_x0000_i1030" type="#_x0000_t75" style="width:39.75pt;height:39.75pt" o:ole="">
                  <v:imagedata r:id="rId9" o:title=""/>
                </v:shape>
                <o:OLEObject Type="Embed" ProgID="PBrush" ShapeID="_x0000_i1030" DrawAspect="Content" ObjectID="_1470986405" r:id="rId10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15" w:dyaOrig="10800">
                <v:shape id="_x0000_i1031" type="#_x0000_t75" style="width:39.75pt;height:39.75pt" o:ole="">
                  <v:imagedata r:id="rId11" o:title="" blacklevel="6554f" grayscale="t"/>
                </v:shape>
                <o:OLEObject Type="Embed" ProgID="PBrush" ShapeID="_x0000_i1031" DrawAspect="Content" ObjectID="_1470986406" r:id="rId12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15" w:dyaOrig="10815">
                <v:shape id="_x0000_i1032" type="#_x0000_t75" style="width:39.75pt;height:39.75pt" o:ole="">
                  <v:imagedata r:id="rId13" o:title=""/>
                </v:shape>
                <o:OLEObject Type="Embed" ProgID="PBrush" ShapeID="_x0000_i1032" DrawAspect="Content" ObjectID="_1470986407" r:id="rId14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15" w:dyaOrig="10815">
                <v:shape id="_x0000_i1033" type="#_x0000_t75" style="width:38.25pt;height:38.25pt" o:ole="">
                  <v:imagedata r:id="rId15" o:title="" blacklevel="6554f" grayscale="t"/>
                </v:shape>
                <o:OLEObject Type="Embed" ProgID="PBrush" ShapeID="_x0000_i1033" DrawAspect="Content" ObjectID="_1470986408" r:id="rId16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00" w:dyaOrig="10815">
                <v:shape id="_x0000_i1034" type="#_x0000_t75" style="width:37.5pt;height:37.5pt" o:ole="">
                  <v:imagedata r:id="rId17" o:title="" blacklevel="6554f" grayscale="t"/>
                </v:shape>
                <o:OLEObject Type="Embed" ProgID="PBrush" ShapeID="_x0000_i1034" DrawAspect="Content" ObjectID="_1470986409" r:id="rId18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5475" w:rsidRPr="009C5E28" w:rsidRDefault="00305475" w:rsidP="00A95BFC">
            <w:pPr>
              <w:spacing w:after="0"/>
              <w:jc w:val="center"/>
            </w:pPr>
            <w:r>
              <w:object w:dxaOrig="10815" w:dyaOrig="10800">
                <v:shape id="_x0000_i1035" type="#_x0000_t75" style="width:39.75pt;height:39.75pt" o:ole="">
                  <v:imagedata r:id="rId19" o:title="" blacklevel="6554f" grayscale="t"/>
                </v:shape>
                <o:OLEObject Type="Embed" ProgID="PBrush" ShapeID="_x0000_i1035" DrawAspect="Content" ObjectID="_1470986410" r:id="rId20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05475" w:rsidRPr="00BB0142" w:rsidRDefault="00305475" w:rsidP="00A95BFC">
            <w:pPr>
              <w:spacing w:after="0"/>
              <w:jc w:val="center"/>
              <w:rPr>
                <w:color w:val="FF0000"/>
              </w:rPr>
            </w:pPr>
            <w:r>
              <w:object w:dxaOrig="10815" w:dyaOrig="10800">
                <v:shape id="_x0000_i1036" type="#_x0000_t75" style="width:39pt;height:39pt" o:ole="">
                  <v:imagedata r:id="rId21" o:title="" blacklevel="6554f" grayscale="t"/>
                </v:shape>
                <o:OLEObject Type="Embed" ProgID="PBrush" ShapeID="_x0000_i1036" DrawAspect="Content" ObjectID="_1470986411" r:id="rId22"/>
              </w:object>
            </w:r>
          </w:p>
        </w:tc>
      </w:tr>
    </w:tbl>
    <w:p w:rsidR="008D5318" w:rsidRDefault="008D5318" w:rsidP="008D5318"/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rPr>
          <w:rFonts w:eastAsiaTheme="minorEastAsia"/>
        </w:rPr>
        <w:t>Gaswägekugel</w:t>
      </w:r>
      <w:proofErr w:type="spellEnd"/>
      <w:r>
        <w:t>, Stopfen, Feinwaage</w:t>
      </w:r>
    </w:p>
    <w:p w:rsidR="008D5318" w:rsidRPr="00ED07C2" w:rsidRDefault="008D5318" w:rsidP="008D531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Butan, Kohlenstoffdioxid, Stickstoff, Sauerstoff, Helium</w:t>
      </w: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Jedes Gas wird nacheinander in die </w:t>
      </w:r>
      <w:proofErr w:type="spellStart"/>
      <w:r>
        <w:rPr>
          <w:rFonts w:eastAsiaTheme="minorEastAsia"/>
        </w:rPr>
        <w:t>Gaswägekugel</w:t>
      </w:r>
      <w:proofErr w:type="spellEnd"/>
      <w:r>
        <w:t xml:space="preserve"> gefüllt und gewogen. Das genaue Gewicht wird notiert.</w:t>
      </w:r>
    </w:p>
    <w:p w:rsidR="008D5318" w:rsidRDefault="008D5318" w:rsidP="008D5318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752850" cy="2501900"/>
            <wp:effectExtent l="19050" t="0" r="0" b="0"/>
            <wp:docPr id="34" name="Grafik 33" descr="IMG_50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24a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54713" cy="25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318" w:rsidRDefault="008D5318" w:rsidP="008D5318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: Mit Butangas </w:t>
      </w:r>
      <w:proofErr w:type="spellStart"/>
      <w:r>
        <w:t>befüllte</w:t>
      </w:r>
      <w:proofErr w:type="spellEnd"/>
      <w:r>
        <w:t xml:space="preserve"> </w:t>
      </w:r>
      <w:proofErr w:type="spellStart"/>
      <w:r>
        <w:t>Gaswägekugel</w:t>
      </w:r>
      <w:proofErr w:type="spellEnd"/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molaren Massen von CO</w:t>
      </w:r>
      <w:r w:rsidRPr="00B77465">
        <w:rPr>
          <w:vertAlign w:val="subscript"/>
        </w:rPr>
        <w:t>2</w:t>
      </w:r>
      <w:r>
        <w:t>, N</w:t>
      </w:r>
      <w:r w:rsidRPr="00B77465">
        <w:rPr>
          <w:vertAlign w:val="subscript"/>
        </w:rPr>
        <w:t>2</w:t>
      </w:r>
      <w:r>
        <w:t>, H</w:t>
      </w:r>
      <w:r w:rsidRPr="00AA42B1">
        <w:rPr>
          <w:vertAlign w:val="subscript"/>
        </w:rPr>
        <w:t>2</w:t>
      </w:r>
      <w:r>
        <w:t xml:space="preserve"> und O</w:t>
      </w:r>
      <w:r w:rsidRPr="00B77465">
        <w:rPr>
          <w:vertAlign w:val="subscript"/>
        </w:rPr>
        <w:t>2</w:t>
      </w:r>
      <w:r>
        <w:t xml:space="preserve"> sind bekannt, woraus sich folgende Tabelle ergibt:</w:t>
      </w:r>
    </w:p>
    <w:tbl>
      <w:tblPr>
        <w:tblStyle w:val="MittleresRaster3-Akzent1"/>
        <w:tblW w:w="0" w:type="auto"/>
        <w:jc w:val="center"/>
        <w:tblLook w:val="04A0"/>
      </w:tblPr>
      <w:tblGrid>
        <w:gridCol w:w="2156"/>
        <w:gridCol w:w="1768"/>
        <w:gridCol w:w="2709"/>
      </w:tblGrid>
      <w:tr w:rsidR="008D5318" w:rsidTr="00C676C7">
        <w:trPr>
          <w:cnfStyle w:val="100000000000"/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100000000000"/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Masse m [g]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100000000000"/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Molare Masse M [g/</w:t>
            </w:r>
            <w:proofErr w:type="spellStart"/>
            <w:r w:rsidRPr="00F7750E">
              <w:rPr>
                <w:color w:val="FFFFFF" w:themeColor="background1"/>
                <w:sz w:val="20"/>
                <w:szCs w:val="20"/>
              </w:rPr>
              <w:t>mol</w:t>
            </w:r>
            <w:proofErr w:type="spellEnd"/>
            <w:r w:rsidRPr="00F7750E">
              <w:rPr>
                <w:color w:val="FFFFFF" w:themeColor="background1"/>
                <w:sz w:val="20"/>
                <w:szCs w:val="20"/>
              </w:rPr>
              <w:t>]</w:t>
            </w:r>
          </w:p>
        </w:tc>
      </w:tr>
      <w:tr w:rsidR="008D5318" w:rsidTr="00C676C7">
        <w:trPr>
          <w:cnfStyle w:val="000000100000"/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Stickstoff</w:t>
            </w: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156,4697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28,014</w:t>
            </w:r>
          </w:p>
        </w:tc>
      </w:tr>
      <w:tr w:rsidR="008D5318" w:rsidTr="00C676C7">
        <w:trPr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Helium</w:t>
            </w: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0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156,4697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0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4</w:t>
            </w:r>
          </w:p>
        </w:tc>
      </w:tr>
      <w:tr w:rsidR="008D5318" w:rsidTr="00C676C7">
        <w:trPr>
          <w:cnfStyle w:val="000000100000"/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Sauerstoff</w:t>
            </w: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156,5135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31,998</w:t>
            </w:r>
          </w:p>
        </w:tc>
      </w:tr>
      <w:tr w:rsidR="008D5318" w:rsidTr="00C676C7">
        <w:trPr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Kohlenstoffdioxid</w:t>
            </w: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0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156,6606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0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44,01</w:t>
            </w:r>
          </w:p>
        </w:tc>
      </w:tr>
      <w:tr w:rsidR="008D5318" w:rsidTr="00C676C7">
        <w:trPr>
          <w:cnfStyle w:val="000000100000"/>
          <w:jc w:val="center"/>
        </w:trPr>
        <w:tc>
          <w:tcPr>
            <w:cnfStyle w:val="001000000000"/>
            <w:tcW w:w="2156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rPr>
                <w:color w:val="FFFFFF" w:themeColor="background1"/>
                <w:sz w:val="20"/>
                <w:szCs w:val="20"/>
              </w:rPr>
            </w:pPr>
            <w:r w:rsidRPr="00F7750E">
              <w:rPr>
                <w:color w:val="FFFFFF" w:themeColor="background1"/>
                <w:sz w:val="20"/>
                <w:szCs w:val="20"/>
              </w:rPr>
              <w:t>Butan</w:t>
            </w:r>
          </w:p>
        </w:tc>
        <w:tc>
          <w:tcPr>
            <w:tcW w:w="1768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156,7919</w:t>
            </w:r>
          </w:p>
        </w:tc>
        <w:tc>
          <w:tcPr>
            <w:tcW w:w="2709" w:type="dxa"/>
          </w:tcPr>
          <w:p w:rsidR="008D5318" w:rsidRPr="00F7750E" w:rsidRDefault="008D5318" w:rsidP="00C676C7">
            <w:pPr>
              <w:tabs>
                <w:tab w:val="left" w:pos="1701"/>
                <w:tab w:val="left" w:pos="1985"/>
              </w:tabs>
              <w:jc w:val="center"/>
              <w:cnfStyle w:val="000000100000"/>
              <w:rPr>
                <w:sz w:val="20"/>
                <w:szCs w:val="20"/>
              </w:rPr>
            </w:pPr>
            <w:r w:rsidRPr="00F7750E">
              <w:rPr>
                <w:sz w:val="20"/>
                <w:szCs w:val="20"/>
              </w:rPr>
              <w:t>x</w:t>
            </w:r>
          </w:p>
        </w:tc>
      </w:tr>
    </w:tbl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  <w:r>
        <w:tab/>
        <w:t>Aus den bekannten Werten lässt sich folgende Grafik erstellen:</w:t>
      </w: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5079161" cy="3862396"/>
            <wp:effectExtent l="19050" t="0" r="7189" b="0"/>
            <wp:docPr id="3" name="Bild 13" descr="C:\Users\Isabel Böselt\Desktop\Grafi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sabel Böselt\Desktop\Grafik.bmp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 l="7159" t="7842" r="11655" b="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61" cy="386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durch das Programm Origin erstellte Geradengleichung lautet wie folgt:</w:t>
      </w:r>
    </w:p>
    <w:p w:rsidR="008D5318" w:rsidRPr="00AA42B1" w:rsidRDefault="008D5318" w:rsidP="008D531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y=0,01227x+156,12221</m:t>
          </m:r>
        </m:oMath>
      </m:oMathPara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Durch Einsetzen der gewogenen Masse des Kohlenwasserstoffs ergibt sich folgender Wert:</w:t>
      </w: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156,7919 g-156,12221 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0,01227 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=54,58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den>
          </m:f>
        </m:oMath>
      </m:oMathPara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Durch die ausgerechnete molare Masse des Kohlenwasserstoffs lässt sich auf Butan, mit einer molaren Masse von 58,12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 xml:space="preserve"> schließen. </w:t>
      </w:r>
    </w:p>
    <w:p w:rsidR="008D5318" w:rsidRDefault="008D5318" w:rsidP="008D531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Fehlerbetrachtung:</w:t>
      </w:r>
      <w:r>
        <w:rPr>
          <w:rFonts w:eastAsiaTheme="minorEastAsia"/>
        </w:rPr>
        <w:tab/>
        <w:t xml:space="preserve">Der leicht abweichende Wert von dem der Literatur ist darauf zurückzuführen, dass die </w:t>
      </w:r>
      <w:proofErr w:type="spellStart"/>
      <w:r>
        <w:rPr>
          <w:rFonts w:eastAsiaTheme="minorEastAsia"/>
        </w:rPr>
        <w:t>Gaswägekugel</w:t>
      </w:r>
      <w:proofErr w:type="spellEnd"/>
      <w:r>
        <w:rPr>
          <w:rFonts w:eastAsiaTheme="minorEastAsia"/>
        </w:rPr>
        <w:t xml:space="preserve"> nicht immer komplett mit dem jeweiligen Gas </w:t>
      </w:r>
      <w:proofErr w:type="spellStart"/>
      <w:r>
        <w:rPr>
          <w:rFonts w:eastAsiaTheme="minorEastAsia"/>
        </w:rPr>
        <w:t>befüllt</w:t>
      </w:r>
      <w:proofErr w:type="spellEnd"/>
      <w:r>
        <w:rPr>
          <w:rFonts w:eastAsiaTheme="minorEastAsia"/>
        </w:rPr>
        <w:t xml:space="preserve"> wurde.</w:t>
      </w:r>
    </w:p>
    <w:p w:rsidR="008D5318" w:rsidRPr="00DE6CAD" w:rsidRDefault="00D80844" w:rsidP="008D5318">
      <w:pPr>
        <w:tabs>
          <w:tab w:val="left" w:pos="1701"/>
          <w:tab w:val="left" w:pos="1985"/>
        </w:tabs>
        <w:ind w:left="1980" w:hanging="1980"/>
      </w:pPr>
      <w:r>
        <w:pict>
          <v:shape id="_x0000_s1032" type="#_x0000_t202" style="width:462.45pt;height:22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2">
              <w:txbxContent>
                <w:p w:rsidR="008D5318" w:rsidRPr="00BD2A55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 Gase können unter dem Abzug entsorgt werden.</w:t>
                  </w:r>
                </w:p>
                <w:p w:rsidR="008D5318" w:rsidRDefault="008D5318" w:rsidP="008D5318">
                  <w:pPr>
                    <w:rPr>
                      <w:b/>
                      <w:color w:val="1F497D" w:themeColor="text2"/>
                    </w:rPr>
                  </w:pPr>
                </w:p>
                <w:p w:rsidR="008D5318" w:rsidRDefault="008D5318" w:rsidP="008D5318">
                  <w:pPr>
                    <w:rPr>
                      <w:b/>
                      <w:color w:val="1F497D" w:themeColor="text2"/>
                    </w:rPr>
                  </w:pPr>
                </w:p>
                <w:p w:rsidR="008D5318" w:rsidRPr="000D10FB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8D5318" w:rsidRDefault="00D80844" w:rsidP="008D5318">
      <w:pPr>
        <w:spacing w:line="276" w:lineRule="auto"/>
        <w:jc w:val="left"/>
      </w:pPr>
      <w:r>
        <w:pict>
          <v:shape id="_x0000_s1031" type="#_x0000_t202" style="width:462.45pt;height:149.9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8D5318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Falls keine Feinwaage vorhanden ist kann auch mit einer Grobwaage gearbeitet werden. In diesem Fall ist es sinnvoll einen 1L-Kolben mit Stopfen (auch falls es keine </w:t>
                  </w:r>
                  <w:proofErr w:type="spellStart"/>
                  <w:r>
                    <w:rPr>
                      <w:color w:val="1F497D" w:themeColor="text2"/>
                    </w:rPr>
                    <w:t>Gaswägekugel</w:t>
                  </w:r>
                  <w:proofErr w:type="spellEnd"/>
                  <w:r>
                    <w:rPr>
                      <w:color w:val="1F497D" w:themeColor="text2"/>
                    </w:rPr>
                    <w:t xml:space="preserve"> gibt) zu verwenden, um genauere Ergebnisse zu erzielen. Grobwaagen haben nur eine oder zwei Nachkommastellen und durch die größere Masse des mit Gas </w:t>
                  </w:r>
                  <w:proofErr w:type="spellStart"/>
                  <w:r>
                    <w:rPr>
                      <w:color w:val="1F497D" w:themeColor="text2"/>
                    </w:rPr>
                    <w:t>befüllten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Kolbens können </w:t>
                  </w:r>
                  <w:proofErr w:type="spellStart"/>
                  <w:r>
                    <w:rPr>
                      <w:color w:val="1F497D" w:themeColor="text2"/>
                    </w:rPr>
                    <w:t>Messfehler</w:t>
                  </w:r>
                  <w:proofErr w:type="spellEnd"/>
                  <w:r>
                    <w:rPr>
                      <w:color w:val="1F497D" w:themeColor="text2"/>
                    </w:rPr>
                    <w:t xml:space="preserve"> verringert werden.</w:t>
                  </w:r>
                </w:p>
                <w:p w:rsidR="008D5318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Statt mit dem Programm Origin kann man Grafik auch mit Excel oder per Hand erstellen, um den fehlenden Wert zu berechnen.</w:t>
                  </w:r>
                </w:p>
                <w:p w:rsidR="008D5318" w:rsidRPr="00BD2A55" w:rsidRDefault="008D5318" w:rsidP="008D5318">
                  <w:pPr>
                    <w:rPr>
                      <w:color w:val="1F497D" w:themeColor="text2"/>
                    </w:rPr>
                  </w:pPr>
                </w:p>
                <w:p w:rsidR="008D5318" w:rsidRDefault="008D5318" w:rsidP="008D5318">
                  <w:pPr>
                    <w:rPr>
                      <w:b/>
                      <w:color w:val="1F497D" w:themeColor="text2"/>
                    </w:rPr>
                  </w:pPr>
                </w:p>
                <w:p w:rsidR="008D5318" w:rsidRPr="000D10FB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8D5318" w:rsidRDefault="00D80844" w:rsidP="008D5318">
      <w:pPr>
        <w:spacing w:line="276" w:lineRule="auto"/>
        <w:jc w:val="left"/>
      </w:pPr>
      <w:r>
        <w:pict>
          <v:shape id="_x0000_s1030" type="#_x0000_t202" style="width:462.45pt;height:44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0">
              <w:txbxContent>
                <w:p w:rsidR="008D5318" w:rsidRPr="00BD2A55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Es bietet sich an, dieses Experiment im Anschluss an V1 durchzuführen, um auf die genauere Struktur eines Kohlenwasserstoffs schließen zu können.</w:t>
                  </w:r>
                </w:p>
                <w:p w:rsidR="008D5318" w:rsidRDefault="008D5318" w:rsidP="008D5318">
                  <w:pPr>
                    <w:rPr>
                      <w:b/>
                      <w:color w:val="1F497D" w:themeColor="text2"/>
                    </w:rPr>
                  </w:pPr>
                </w:p>
                <w:p w:rsidR="008D5318" w:rsidRDefault="008D5318" w:rsidP="008D5318">
                  <w:pPr>
                    <w:rPr>
                      <w:b/>
                      <w:color w:val="1F497D" w:themeColor="text2"/>
                    </w:rPr>
                  </w:pPr>
                </w:p>
                <w:p w:rsidR="008D5318" w:rsidRPr="000D10FB" w:rsidRDefault="008D5318" w:rsidP="008D5318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8D5318" w:rsidRDefault="008D5318" w:rsidP="008D5318">
      <w:pPr>
        <w:spacing w:line="276" w:lineRule="auto"/>
        <w:jc w:val="left"/>
      </w:pPr>
    </w:p>
    <w:p w:rsidR="008D5318" w:rsidRDefault="008D5318" w:rsidP="008D5318">
      <w:pPr>
        <w:spacing w:line="276" w:lineRule="auto"/>
        <w:ind w:left="1985" w:hanging="1985"/>
        <w:jc w:val="left"/>
        <w:rPr>
          <w:rFonts w:asciiTheme="majorHAnsi" w:hAnsiTheme="majorHAnsi"/>
        </w:rPr>
      </w:pPr>
      <w:r>
        <w:t>Literatur:</w:t>
      </w:r>
      <w:r>
        <w:tab/>
      </w:r>
      <w:r>
        <w:rPr>
          <w:rFonts w:asciiTheme="majorHAnsi" w:hAnsiTheme="majorHAnsi"/>
        </w:rPr>
        <w:t xml:space="preserve">[1] W. Glöckner, W. Jansen, R. G. </w:t>
      </w:r>
      <w:proofErr w:type="spellStart"/>
      <w:r>
        <w:rPr>
          <w:rFonts w:asciiTheme="majorHAnsi" w:hAnsiTheme="majorHAnsi"/>
        </w:rPr>
        <w:t>Weissenhorn</w:t>
      </w:r>
      <w:proofErr w:type="spellEnd"/>
      <w:r>
        <w:rPr>
          <w:rFonts w:asciiTheme="majorHAnsi" w:hAnsiTheme="majorHAnsi"/>
        </w:rPr>
        <w:t xml:space="preserve"> (Hrsg.), Handbuch der experimentellen Chemie – Sekundarstufe II, Band 9: Kohlenwasserstoffe, </w:t>
      </w:r>
      <w:proofErr w:type="spellStart"/>
      <w:r>
        <w:rPr>
          <w:rFonts w:asciiTheme="majorHAnsi" w:hAnsiTheme="majorHAnsi"/>
        </w:rPr>
        <w:t>Alius</w:t>
      </w:r>
      <w:proofErr w:type="spellEnd"/>
      <w:r>
        <w:rPr>
          <w:rFonts w:asciiTheme="majorHAnsi" w:hAnsiTheme="majorHAnsi"/>
        </w:rPr>
        <w:t xml:space="preserve"> Verlag </w:t>
      </w:r>
      <w:proofErr w:type="spellStart"/>
      <w:r>
        <w:rPr>
          <w:rFonts w:asciiTheme="majorHAnsi" w:hAnsiTheme="majorHAnsi"/>
        </w:rPr>
        <w:t>Deubner</w:t>
      </w:r>
      <w:proofErr w:type="spellEnd"/>
      <w:r>
        <w:rPr>
          <w:rFonts w:asciiTheme="majorHAnsi" w:hAnsiTheme="majorHAnsi"/>
        </w:rPr>
        <w:t>, 2005, S. 61-63</w:t>
      </w:r>
    </w:p>
    <w:p w:rsidR="002E7384" w:rsidRDefault="002E7384"/>
    <w:sectPr w:rsidR="002E7384" w:rsidSect="002E7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318"/>
    <w:rsid w:val="002E7384"/>
    <w:rsid w:val="00305475"/>
    <w:rsid w:val="00345F7E"/>
    <w:rsid w:val="003D3075"/>
    <w:rsid w:val="004726BB"/>
    <w:rsid w:val="00892185"/>
    <w:rsid w:val="008D5318"/>
    <w:rsid w:val="009C5FDC"/>
    <w:rsid w:val="00D8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531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31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31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31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531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531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531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531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531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531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531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31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31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5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53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5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53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53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53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D5318"/>
    <w:pPr>
      <w:spacing w:line="240" w:lineRule="auto"/>
    </w:pPr>
    <w:rPr>
      <w:bCs/>
      <w:color w:val="auto"/>
      <w:sz w:val="18"/>
      <w:szCs w:val="18"/>
    </w:rPr>
  </w:style>
  <w:style w:type="table" w:styleId="MittleresRaster3-Akzent1">
    <w:name w:val="Medium Grid 3 Accent 1"/>
    <w:basedOn w:val="NormaleTabelle"/>
    <w:uiPriority w:val="69"/>
    <w:rsid w:val="008D5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31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3</cp:revision>
  <dcterms:created xsi:type="dcterms:W3CDTF">2014-08-26T15:21:00Z</dcterms:created>
  <dcterms:modified xsi:type="dcterms:W3CDTF">2014-08-31T08:33:00Z</dcterms:modified>
</cp:coreProperties>
</file>