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86" w:rsidRPr="00E81186" w:rsidRDefault="00FC00CE" w:rsidP="00E81186">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8" type="#_x0000_t202" style="position:absolute;left:0;text-align:left;margin-left:-.25pt;margin-top:46.9pt;width:462.45pt;height:102.45pt;z-index:251660288;mso-width-relative:margin;mso-height-relative:margin" fillcolor="white [3201]" strokecolor="#4bacc6 [3208]" strokeweight="1pt">
            <v:stroke dashstyle="dash"/>
            <v:shadow color="#868686"/>
            <v:textbox style="mso-next-textbox:#_x0000_s1028">
              <w:txbxContent>
                <w:p w:rsidR="00E81186" w:rsidRPr="000D10FB" w:rsidRDefault="00E81186" w:rsidP="00E81186">
                  <w:pPr>
                    <w:rPr>
                      <w:color w:val="1F497D" w:themeColor="text2"/>
                    </w:rPr>
                  </w:pPr>
                  <w:r>
                    <w:rPr>
                      <w:color w:val="1F497D" w:themeColor="text2"/>
                    </w:rPr>
                    <w:t>Mittels dieses Experimentes s</w:t>
                  </w:r>
                  <w:r w:rsidR="00D502F8">
                    <w:rPr>
                      <w:color w:val="1F497D" w:themeColor="text2"/>
                    </w:rPr>
                    <w:t>oll die Anzahl der Wasserstoffa</w:t>
                  </w:r>
                  <w:r>
                    <w:rPr>
                      <w:color w:val="1F497D" w:themeColor="text2"/>
                    </w:rPr>
                    <w:t>tome in Anknüpfung an die Bestimmung der Kohlenstoff-Atome sowie der molaren Masse bestimmt werden. In diesem Zusammenhang sollen Rechnungen zu Stoffmengenverhältnissen geübt werden. Zur Durchführung des Experiments sollten die SuS über grundlegende Kenntnisse über Kohlenwasserstoffe verfügen (Eigenschaften, Nomenklatur, homologe Reihe, Strukturisomerie).</w:t>
                  </w:r>
                </w:p>
                <w:p w:rsidR="00E81186" w:rsidRPr="000D10FB" w:rsidRDefault="00E81186" w:rsidP="00E81186">
                  <w:pPr>
                    <w:rPr>
                      <w:color w:val="1F497D" w:themeColor="text2"/>
                    </w:rPr>
                  </w:pPr>
                </w:p>
              </w:txbxContent>
            </v:textbox>
            <w10:wrap type="square"/>
          </v:shape>
        </w:pict>
      </w:r>
      <w:bookmarkStart w:id="0" w:name="_Toc396805092"/>
      <w:r w:rsidR="00E81186" w:rsidRPr="00E81186">
        <w:rPr>
          <w:sz w:val="28"/>
        </w:rPr>
        <w:t>V 3 – Bestimmung der Anzahl an Wasserstoff</w:t>
      </w:r>
      <w:r w:rsidR="00D502F8">
        <w:rPr>
          <w:sz w:val="28"/>
        </w:rPr>
        <w:t>a</w:t>
      </w:r>
      <w:r w:rsidR="00E81186" w:rsidRPr="00E81186">
        <w:rPr>
          <w:sz w:val="28"/>
        </w:rPr>
        <w:t>tomen</w:t>
      </w:r>
      <w:bookmarkEnd w:id="0"/>
    </w:p>
    <w:p w:rsidR="00E81186" w:rsidRDefault="00E81186" w:rsidP="00E81186"/>
    <w:tbl>
      <w:tblPr>
        <w:tblW w:w="0" w:type="auto"/>
        <w:tblBorders>
          <w:top w:val="single" w:sz="8" w:space="0" w:color="4F81BD"/>
          <w:left w:val="single" w:sz="8" w:space="0" w:color="4F81BD"/>
          <w:bottom w:val="single" w:sz="8" w:space="0" w:color="4F81BD"/>
          <w:right w:val="single" w:sz="8" w:space="0" w:color="4F81BD"/>
        </w:tblBorders>
        <w:tblLook w:val="04A0"/>
      </w:tblPr>
      <w:tblGrid>
        <w:gridCol w:w="1016"/>
        <w:gridCol w:w="1016"/>
        <w:gridCol w:w="1016"/>
        <w:gridCol w:w="1017"/>
        <w:gridCol w:w="1017"/>
        <w:gridCol w:w="984"/>
        <w:gridCol w:w="962"/>
        <w:gridCol w:w="1017"/>
        <w:gridCol w:w="995"/>
      </w:tblGrid>
      <w:tr w:rsidR="00E81186" w:rsidRPr="009C5E28" w:rsidTr="00E81186">
        <w:tc>
          <w:tcPr>
            <w:tcW w:w="0" w:type="auto"/>
            <w:gridSpan w:val="9"/>
            <w:shd w:val="clear" w:color="auto" w:fill="4F81BD"/>
            <w:vAlign w:val="center"/>
          </w:tcPr>
          <w:p w:rsidR="00E81186" w:rsidRPr="009C5E28" w:rsidRDefault="00E81186" w:rsidP="00C676C7">
            <w:pPr>
              <w:spacing w:after="0"/>
              <w:jc w:val="center"/>
              <w:rPr>
                <w:b/>
                <w:bCs/>
              </w:rPr>
            </w:pPr>
            <w:r w:rsidRPr="009C5E28">
              <w:rPr>
                <w:b/>
                <w:bCs/>
              </w:rPr>
              <w:t>Gefahrenstoffe</w:t>
            </w:r>
          </w:p>
        </w:tc>
      </w:tr>
      <w:tr w:rsidR="00E81186" w:rsidRPr="009C5E28" w:rsidTr="00E81186">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E81186" w:rsidRPr="009C5E28" w:rsidRDefault="00E81186" w:rsidP="00C676C7">
            <w:pPr>
              <w:spacing w:after="0" w:line="276" w:lineRule="auto"/>
              <w:jc w:val="center"/>
              <w:rPr>
                <w:b/>
                <w:bCs/>
              </w:rPr>
            </w:pPr>
            <w:r>
              <w:rPr>
                <w:sz w:val="20"/>
              </w:rPr>
              <w:t>Eisenspäne</w:t>
            </w:r>
          </w:p>
        </w:tc>
        <w:tc>
          <w:tcPr>
            <w:tcW w:w="0" w:type="auto"/>
            <w:gridSpan w:val="3"/>
            <w:tcBorders>
              <w:top w:val="single" w:sz="8" w:space="0" w:color="4F81BD"/>
              <w:bottom w:val="single" w:sz="8" w:space="0" w:color="4F81BD"/>
            </w:tcBorders>
            <w:shd w:val="clear" w:color="auto" w:fill="auto"/>
            <w:vAlign w:val="center"/>
          </w:tcPr>
          <w:p w:rsidR="00E81186" w:rsidRPr="009C5E28" w:rsidRDefault="00E81186" w:rsidP="00C676C7">
            <w:pPr>
              <w:spacing w:after="0"/>
              <w:jc w:val="center"/>
              <w:rPr>
                <w:sz w:val="20"/>
              </w:rPr>
            </w:pPr>
            <w:r>
              <w:rPr>
                <w:sz w:val="20"/>
              </w:rPr>
              <w:t>H228</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E81186" w:rsidRPr="009C5E28" w:rsidRDefault="00E81186" w:rsidP="00C676C7">
            <w:pPr>
              <w:spacing w:after="0"/>
              <w:jc w:val="center"/>
              <w:rPr>
                <w:sz w:val="20"/>
              </w:rPr>
            </w:pPr>
            <w:r w:rsidRPr="005E2FC6">
              <w:rPr>
                <w:sz w:val="20"/>
              </w:rPr>
              <w:t>P370+P378b</w:t>
            </w:r>
          </w:p>
        </w:tc>
      </w:tr>
      <w:tr w:rsidR="00E81186" w:rsidRPr="009C5E28" w:rsidTr="00E81186">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E81186" w:rsidRPr="009C5E28" w:rsidRDefault="00E81186" w:rsidP="00C676C7">
            <w:pPr>
              <w:spacing w:after="0" w:line="276" w:lineRule="auto"/>
              <w:jc w:val="center"/>
              <w:rPr>
                <w:b/>
                <w:bCs/>
              </w:rPr>
            </w:pPr>
            <w:r>
              <w:rPr>
                <w:sz w:val="20"/>
              </w:rPr>
              <w:t>n-Butan</w:t>
            </w:r>
          </w:p>
        </w:tc>
        <w:tc>
          <w:tcPr>
            <w:tcW w:w="0" w:type="auto"/>
            <w:gridSpan w:val="3"/>
            <w:tcBorders>
              <w:top w:val="single" w:sz="8" w:space="0" w:color="4F81BD"/>
              <w:bottom w:val="single" w:sz="8" w:space="0" w:color="4F81BD"/>
            </w:tcBorders>
            <w:shd w:val="clear" w:color="auto" w:fill="auto"/>
            <w:vAlign w:val="center"/>
          </w:tcPr>
          <w:p w:rsidR="00E81186" w:rsidRPr="009C5E28" w:rsidRDefault="00E81186" w:rsidP="00C676C7">
            <w:pPr>
              <w:spacing w:after="0"/>
              <w:jc w:val="center"/>
              <w:rPr>
                <w:sz w:val="20"/>
              </w:rPr>
            </w:pPr>
            <w:r w:rsidRPr="002104A3">
              <w:rPr>
                <w:sz w:val="20"/>
              </w:rPr>
              <w:t>H220 H280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E81186" w:rsidRPr="009C5E28" w:rsidRDefault="00E81186" w:rsidP="00C676C7">
            <w:pPr>
              <w:spacing w:after="0"/>
              <w:jc w:val="center"/>
              <w:rPr>
                <w:sz w:val="20"/>
              </w:rPr>
            </w:pPr>
            <w:r w:rsidRPr="002104A3">
              <w:rPr>
                <w:sz w:val="20"/>
              </w:rPr>
              <w:t xml:space="preserve">P210 P403 P377 P381  </w:t>
            </w:r>
          </w:p>
        </w:tc>
      </w:tr>
      <w:tr w:rsidR="00E81186" w:rsidRPr="009C5E28" w:rsidTr="00E81186">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E81186" w:rsidRDefault="00E81186" w:rsidP="00C676C7">
            <w:pPr>
              <w:spacing w:after="0" w:line="276" w:lineRule="auto"/>
              <w:jc w:val="center"/>
              <w:rPr>
                <w:sz w:val="20"/>
              </w:rPr>
            </w:pPr>
            <w:r>
              <w:rPr>
                <w:sz w:val="20"/>
              </w:rPr>
              <w:t>Stickstoff</w:t>
            </w:r>
          </w:p>
        </w:tc>
        <w:tc>
          <w:tcPr>
            <w:tcW w:w="0" w:type="auto"/>
            <w:gridSpan w:val="3"/>
            <w:tcBorders>
              <w:top w:val="single" w:sz="8" w:space="0" w:color="4F81BD"/>
              <w:bottom w:val="single" w:sz="8" w:space="0" w:color="4F81BD"/>
            </w:tcBorders>
            <w:shd w:val="clear" w:color="auto" w:fill="auto"/>
            <w:vAlign w:val="center"/>
          </w:tcPr>
          <w:p w:rsidR="00E81186" w:rsidRPr="002104A3" w:rsidRDefault="00E81186" w:rsidP="00C676C7">
            <w:pPr>
              <w:spacing w:after="0"/>
              <w:jc w:val="center"/>
              <w:rPr>
                <w:sz w:val="20"/>
              </w:rPr>
            </w:pPr>
            <w:r w:rsidRPr="00864AF0">
              <w:rPr>
                <w:sz w:val="20"/>
              </w:rPr>
              <w:t>H280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E81186" w:rsidRPr="002104A3" w:rsidRDefault="00E81186" w:rsidP="00C676C7">
            <w:pPr>
              <w:spacing w:after="0"/>
              <w:jc w:val="center"/>
              <w:rPr>
                <w:sz w:val="20"/>
              </w:rPr>
            </w:pPr>
            <w:r w:rsidRPr="00864AF0">
              <w:rPr>
                <w:sz w:val="20"/>
              </w:rPr>
              <w:t>P403</w:t>
            </w:r>
          </w:p>
        </w:tc>
      </w:tr>
      <w:tr w:rsidR="00B25EE7" w:rsidRPr="009C5E28" w:rsidTr="00E81186">
        <w:tc>
          <w:tcPr>
            <w:tcW w:w="0" w:type="auto"/>
            <w:tcBorders>
              <w:top w:val="single" w:sz="8" w:space="0" w:color="4F81BD"/>
              <w:left w:val="single" w:sz="8" w:space="0" w:color="4F81BD"/>
              <w:bottom w:val="single" w:sz="8" w:space="0" w:color="4F81BD"/>
            </w:tcBorders>
            <w:shd w:val="clear" w:color="auto" w:fill="auto"/>
            <w:vAlign w:val="center"/>
          </w:tcPr>
          <w:p w:rsidR="00B25EE7" w:rsidRPr="009C5E28" w:rsidRDefault="00B25EE7"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39.75pt" o:ole="">
                  <v:imagedata r:id="rId5" o:title="" blacklevel="6554f" grayscale="t"/>
                </v:shape>
                <o:OLEObject Type="Embed" ProgID="PBrush" ShapeID="_x0000_i1027" DrawAspect="Content" ObjectID="_1470637101" r:id="rId6"/>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00" w:dyaOrig="10815">
                <v:shape id="_x0000_i1028" type="#_x0000_t75" style="width:39.75pt;height:39.75pt" o:ole="">
                  <v:imagedata r:id="rId7" o:title="" blacklevel="6554f" grayscale="t"/>
                </v:shape>
                <o:OLEObject Type="Embed" ProgID="PBrush" ShapeID="_x0000_i1028" DrawAspect="Content" ObjectID="_1470637102" r:id="rId8"/>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00" w:dyaOrig="10815">
                <v:shape id="_x0000_i1029" type="#_x0000_t75" style="width:39.75pt;height:39.75pt" o:ole="">
                  <v:imagedata r:id="rId9" o:title=""/>
                </v:shape>
                <o:OLEObject Type="Embed" ProgID="PBrush" ShapeID="_x0000_i1029" DrawAspect="Content" ObjectID="_1470637103" r:id="rId10"/>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15" w:dyaOrig="10800">
                <v:shape id="_x0000_i1030" type="#_x0000_t75" style="width:39.75pt;height:39.75pt" o:ole="">
                  <v:imagedata r:id="rId11" o:title="" blacklevel="6554f" grayscale="t"/>
                </v:shape>
                <o:OLEObject Type="Embed" ProgID="PBrush" ShapeID="_x0000_i1030" DrawAspect="Content" ObjectID="_1470637104" r:id="rId12"/>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15" w:dyaOrig="10815">
                <v:shape id="_x0000_i1031" type="#_x0000_t75" style="width:39.75pt;height:39.75pt" o:ole="">
                  <v:imagedata r:id="rId13" o:title=""/>
                </v:shape>
                <o:OLEObject Type="Embed" ProgID="PBrush" ShapeID="_x0000_i1031" DrawAspect="Content" ObjectID="_1470637105" r:id="rId14"/>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15" w:dyaOrig="10815">
                <v:shape id="_x0000_i1032" type="#_x0000_t75" style="width:38.25pt;height:38.25pt" o:ole="">
                  <v:imagedata r:id="rId15" o:title="" blacklevel="6554f" grayscale="t"/>
                </v:shape>
                <o:OLEObject Type="Embed" ProgID="PBrush" ShapeID="_x0000_i1032" DrawAspect="Content" ObjectID="_1470637106" r:id="rId16"/>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00" w:dyaOrig="10815">
                <v:shape id="_x0000_i1033" type="#_x0000_t75" style="width:37.5pt;height:37.5pt" o:ole="">
                  <v:imagedata r:id="rId17" o:title="" blacklevel="6554f" grayscale="t"/>
                </v:shape>
                <o:OLEObject Type="Embed" ProgID="PBrush" ShapeID="_x0000_i1033" DrawAspect="Content" ObjectID="_1470637107" r:id="rId18"/>
              </w:object>
            </w:r>
          </w:p>
        </w:tc>
        <w:tc>
          <w:tcPr>
            <w:tcW w:w="0" w:type="auto"/>
            <w:tcBorders>
              <w:top w:val="single" w:sz="8" w:space="0" w:color="4F81BD"/>
              <w:bottom w:val="single" w:sz="8" w:space="0" w:color="4F81BD"/>
            </w:tcBorders>
            <w:shd w:val="clear" w:color="auto" w:fill="auto"/>
            <w:vAlign w:val="center"/>
          </w:tcPr>
          <w:p w:rsidR="00B25EE7" w:rsidRPr="009C5E28" w:rsidRDefault="00B25EE7" w:rsidP="00A95BFC">
            <w:pPr>
              <w:spacing w:after="0"/>
              <w:jc w:val="center"/>
            </w:pPr>
            <w:r>
              <w:object w:dxaOrig="10815" w:dyaOrig="10800">
                <v:shape id="_x0000_i1034" type="#_x0000_t75" style="width:39.75pt;height:39.75pt" o:ole="">
                  <v:imagedata r:id="rId19" o:title="" blacklevel="6554f" grayscale="t"/>
                </v:shape>
                <o:OLEObject Type="Embed" ProgID="PBrush" ShapeID="_x0000_i1034" DrawAspect="Content" ObjectID="_1470637108" r:id="rId20"/>
              </w:object>
            </w:r>
          </w:p>
        </w:tc>
        <w:tc>
          <w:tcPr>
            <w:tcW w:w="0" w:type="auto"/>
            <w:tcBorders>
              <w:top w:val="single" w:sz="8" w:space="0" w:color="4F81BD"/>
              <w:bottom w:val="single" w:sz="8" w:space="0" w:color="4F81BD"/>
              <w:right w:val="single" w:sz="8" w:space="0" w:color="4F81BD"/>
            </w:tcBorders>
            <w:shd w:val="clear" w:color="auto" w:fill="auto"/>
            <w:vAlign w:val="center"/>
          </w:tcPr>
          <w:p w:rsidR="00B25EE7" w:rsidRPr="00BB0142" w:rsidRDefault="00B25EE7" w:rsidP="00A95BFC">
            <w:pPr>
              <w:spacing w:after="0"/>
              <w:jc w:val="center"/>
              <w:rPr>
                <w:color w:val="FF0000"/>
              </w:rPr>
            </w:pPr>
            <w:r>
              <w:object w:dxaOrig="10815" w:dyaOrig="10800">
                <v:shape id="_x0000_i1035" type="#_x0000_t75" style="width:39pt;height:39pt" o:ole="">
                  <v:imagedata r:id="rId21" o:title="" blacklevel="6554f" grayscale="t"/>
                </v:shape>
                <o:OLEObject Type="Embed" ProgID="PBrush" ShapeID="_x0000_i1035" DrawAspect="Content" ObjectID="_1470637109" r:id="rId22"/>
              </w:object>
            </w:r>
          </w:p>
        </w:tc>
      </w:tr>
    </w:tbl>
    <w:p w:rsidR="00E81186" w:rsidRDefault="00E81186" w:rsidP="00E81186"/>
    <w:p w:rsidR="00E81186" w:rsidRDefault="00E81186" w:rsidP="00E81186">
      <w:pPr>
        <w:tabs>
          <w:tab w:val="left" w:pos="1701"/>
          <w:tab w:val="left" w:pos="1985"/>
        </w:tabs>
        <w:ind w:left="1980" w:hanging="1980"/>
      </w:pPr>
      <w:r>
        <w:t xml:space="preserve">Materialien: </w:t>
      </w:r>
      <w:r>
        <w:tab/>
      </w:r>
      <w:r>
        <w:tab/>
      </w:r>
      <w:r>
        <w:rPr>
          <w:rFonts w:eastAsiaTheme="minorEastAsia"/>
        </w:rPr>
        <w:t xml:space="preserve">Quarzrohr (8 mm), 2 </w:t>
      </w:r>
      <w:proofErr w:type="spellStart"/>
      <w:r>
        <w:rPr>
          <w:rFonts w:eastAsiaTheme="minorEastAsia"/>
        </w:rPr>
        <w:t>Kolbenprober</w:t>
      </w:r>
      <w:proofErr w:type="spellEnd"/>
      <w:r>
        <w:rPr>
          <w:rFonts w:eastAsiaTheme="minorEastAsia"/>
        </w:rPr>
        <w:t xml:space="preserve"> (einer mit Hahn)</w:t>
      </w:r>
    </w:p>
    <w:p w:rsidR="00E81186" w:rsidRPr="00ED07C2" w:rsidRDefault="00E81186" w:rsidP="00E81186">
      <w:pPr>
        <w:tabs>
          <w:tab w:val="left" w:pos="1701"/>
          <w:tab w:val="left" w:pos="1985"/>
        </w:tabs>
        <w:ind w:left="1980" w:hanging="1980"/>
      </w:pPr>
      <w:r>
        <w:t>Chemikalien:</w:t>
      </w:r>
      <w:r>
        <w:tab/>
      </w:r>
      <w:r>
        <w:tab/>
        <w:t>Eisenspäne, Butan, Stickstoff</w:t>
      </w:r>
    </w:p>
    <w:p w:rsidR="00E81186" w:rsidRDefault="00E81186" w:rsidP="00E81186">
      <w:pPr>
        <w:tabs>
          <w:tab w:val="left" w:pos="1701"/>
          <w:tab w:val="left" w:pos="1985"/>
        </w:tabs>
        <w:ind w:left="1980" w:hanging="1980"/>
      </w:pPr>
      <w:r>
        <w:t xml:space="preserve">Durchführung: </w:t>
      </w:r>
      <w:r>
        <w:tab/>
      </w:r>
      <w:r>
        <w:tab/>
        <w:t xml:space="preserve">Ein Quarzrohr wird mit Eisenspänen </w:t>
      </w:r>
      <w:proofErr w:type="spellStart"/>
      <w:r>
        <w:t>befüllt</w:t>
      </w:r>
      <w:proofErr w:type="spellEnd"/>
      <w:r>
        <w:t xml:space="preserve"> und an beiden Enden mit Glaswolle verschlossen. Anschließend wird es mit Stickstoff gespült. In einen der beiden Kolben wird 30 </w:t>
      </w:r>
      <w:proofErr w:type="spellStart"/>
      <w:r>
        <w:t>mL</w:t>
      </w:r>
      <w:proofErr w:type="spellEnd"/>
      <w:r>
        <w:t xml:space="preserve"> Butangas aufgenommen und das Eisen über dem Gasbrenner erhitzt. Nun wird das Gas gleichmäßig über das glühende Eisen geleitet bis keine Volumenveränderung mehr zu erkennen ist. Diese wird notiert.</w:t>
      </w:r>
    </w:p>
    <w:p w:rsidR="00E81186" w:rsidRDefault="00E81186" w:rsidP="00E81186">
      <w:pPr>
        <w:keepNext/>
        <w:tabs>
          <w:tab w:val="left" w:pos="1701"/>
          <w:tab w:val="left" w:pos="1985"/>
        </w:tabs>
        <w:ind w:left="1980" w:hanging="1980"/>
        <w:jc w:val="center"/>
      </w:pPr>
      <w:r>
        <w:rPr>
          <w:noProof/>
          <w:lang w:eastAsia="de-DE"/>
        </w:rPr>
        <w:lastRenderedPageBreak/>
        <w:drawing>
          <wp:inline distT="0" distB="0" distL="0" distR="0">
            <wp:extent cx="5760720" cy="2419985"/>
            <wp:effectExtent l="19050" t="0" r="0" b="0"/>
            <wp:docPr id="35" name="Grafik 34" descr="IMG_50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0a.jpg"/>
                    <pic:cNvPicPr/>
                  </pic:nvPicPr>
                  <pic:blipFill>
                    <a:blip r:embed="rId23" cstate="email"/>
                    <a:stretch>
                      <a:fillRect/>
                    </a:stretch>
                  </pic:blipFill>
                  <pic:spPr>
                    <a:xfrm>
                      <a:off x="0" y="0"/>
                      <a:ext cx="5760720" cy="2419985"/>
                    </a:xfrm>
                    <a:prstGeom prst="rect">
                      <a:avLst/>
                    </a:prstGeom>
                  </pic:spPr>
                </pic:pic>
              </a:graphicData>
            </a:graphic>
          </wp:inline>
        </w:drawing>
      </w:r>
    </w:p>
    <w:p w:rsidR="00E81186" w:rsidRDefault="00E81186" w:rsidP="00E81186">
      <w:pPr>
        <w:pStyle w:val="Beschriftung"/>
        <w:jc w:val="center"/>
      </w:pPr>
      <w:r>
        <w:t xml:space="preserve">Abbildung </w:t>
      </w:r>
      <w:fldSimple w:instr=" SEQ Abbildung \* ARABIC ">
        <w:r>
          <w:rPr>
            <w:noProof/>
          </w:rPr>
          <w:t>3</w:t>
        </w:r>
      </w:fldSimple>
      <w:r>
        <w:t>: Versuchsaufbau</w:t>
      </w:r>
    </w:p>
    <w:p w:rsidR="00E81186" w:rsidRDefault="00E81186" w:rsidP="00E81186">
      <w:pPr>
        <w:tabs>
          <w:tab w:val="left" w:pos="1701"/>
          <w:tab w:val="left" w:pos="1985"/>
        </w:tabs>
        <w:ind w:left="1980" w:hanging="1980"/>
      </w:pPr>
      <w:r>
        <w:t>Beobachtung:</w:t>
      </w:r>
      <w:r>
        <w:tab/>
      </w:r>
      <w:r>
        <w:tab/>
        <w:t>Es ist keine Volumenveränderung zu beobachten (Laut Erwartung hätte allerdings eine stattfinden sollen).</w:t>
      </w:r>
    </w:p>
    <w:p w:rsidR="00E81186" w:rsidRDefault="00E81186" w:rsidP="00E81186">
      <w:pPr>
        <w:tabs>
          <w:tab w:val="left" w:pos="1701"/>
          <w:tab w:val="left" w:pos="1985"/>
        </w:tabs>
        <w:ind w:left="1980" w:hanging="1980"/>
      </w:pPr>
      <w:r>
        <w:t>Deutung:</w:t>
      </w:r>
      <w:r>
        <w:tab/>
      </w:r>
      <w:r>
        <w:tab/>
        <w:t xml:space="preserve">Die Kohlenwasserstoff-Verbindungen hätten durch das Erhitzen der Eisenspäne und das </w:t>
      </w:r>
      <w:proofErr w:type="spellStart"/>
      <w:r>
        <w:t>Durchleiten</w:t>
      </w:r>
      <w:proofErr w:type="spellEnd"/>
      <w:r>
        <w:t xml:space="preserve"> des Gases in Kohlenstoff und Wasserstoff zersetzt werden sollen. Anhand der Ermittlung des Volumens ließe sich auf die Anzahl der Wasserstoffatome schließen. Da diese jedoch nicht zu beobachten war kann der Versuch nicht ausgewertet werden. Folgende Gleichungen hätten zur Berechnung verwendet werden sollen:</w:t>
      </w:r>
    </w:p>
    <w:p w:rsidR="00E81186" w:rsidRPr="00E10D94" w:rsidRDefault="00FC00CE" w:rsidP="00E81186">
      <w:pPr>
        <w:tabs>
          <w:tab w:val="left" w:pos="1701"/>
          <w:tab w:val="left" w:pos="1985"/>
        </w:tabs>
        <w:ind w:left="1980" w:hanging="1980"/>
        <w:jc w:val="center"/>
        <w:rPr>
          <w:rFonts w:eastAsiaTheme="minorEastAsia"/>
        </w:rP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y(g)</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f>
            <m:fPr>
              <m:ctrlPr>
                <w:rPr>
                  <w:rFonts w:ascii="Cambria Math" w:hAnsi="Cambria Math"/>
                </w:rPr>
              </m:ctrlPr>
            </m:fPr>
            <m:num>
              <m:r>
                <m:rPr>
                  <m:sty m:val="p"/>
                </m:rPr>
                <w:rPr>
                  <w:rFonts w:ascii="Cambria Math" w:hAnsi="Cambria Math"/>
                </w:rPr>
                <m:t>y</m:t>
              </m:r>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2(g)</m:t>
              </m:r>
            </m:sub>
          </m:sSub>
        </m:oMath>
      </m:oMathPara>
    </w:p>
    <w:p w:rsidR="00E81186" w:rsidRDefault="00E81186" w:rsidP="00E81186">
      <w:pPr>
        <w:tabs>
          <w:tab w:val="left" w:pos="1985"/>
        </w:tabs>
        <w:ind w:left="1980" w:hanging="1980"/>
        <w:rPr>
          <w:rFonts w:eastAsiaTheme="minorEastAsia"/>
        </w:rPr>
      </w:pPr>
      <m:oMathPara>
        <m:oMath>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r>
            <m:rPr>
              <m:sty m:val="p"/>
            </m:rPr>
            <w:rPr>
              <w:rFonts w:ascii="Cambria Math" w:hAnsi="Cambria Math"/>
            </w:rPr>
            <m:t xml:space="preserve"> :n</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m:rPr>
              <m:sty m:val="p"/>
            </m:rPr>
            <w:rPr>
              <w:rFonts w:ascii="Cambria Math" w:hAnsi="Cambria Math"/>
            </w:rPr>
            <m:t>=1 :</m:t>
          </m:r>
          <m:f>
            <m:fPr>
              <m:ctrlPr>
                <w:rPr>
                  <w:rFonts w:ascii="Cambria Math" w:hAnsi="Cambria Math"/>
                </w:rPr>
              </m:ctrlPr>
            </m:fPr>
            <m:num>
              <m:r>
                <m:rPr>
                  <m:sty m:val="p"/>
                </m:rPr>
                <w:rPr>
                  <w:rFonts w:ascii="Cambria Math" w:hAnsi="Cambria Math"/>
                </w:rPr>
                <m:t>y</m:t>
              </m:r>
            </m:num>
            <m:den>
              <m:r>
                <m:rPr>
                  <m:sty m:val="p"/>
                </m:rPr>
                <w:rPr>
                  <w:rFonts w:ascii="Cambria Math" w:hAnsi="Cambria Math"/>
                </w:rPr>
                <m:t>2</m:t>
              </m:r>
            </m:den>
          </m:f>
        </m:oMath>
      </m:oMathPara>
    </w:p>
    <w:p w:rsidR="00E81186" w:rsidRPr="00E10D94" w:rsidRDefault="00E81186" w:rsidP="00E81186">
      <w:pPr>
        <w:tabs>
          <w:tab w:val="left" w:pos="1985"/>
        </w:tabs>
        <w:ind w:left="1980" w:hanging="1980"/>
        <w:rPr>
          <w:rFonts w:eastAsiaTheme="minorEastAsia"/>
        </w:rPr>
      </w:pPr>
      <m:oMathPara>
        <m:oMath>
          <m:r>
            <m:rPr>
              <m:sty m:val="p"/>
            </m:rPr>
            <w:rPr>
              <w:rFonts w:ascii="Cambria Math" w:eastAsiaTheme="minorEastAsia" w:hAnsi="Cambria Math"/>
            </w:rPr>
            <m:t>y=2∙</m:t>
          </m:r>
          <m:f>
            <m:fPr>
              <m:ctrlPr>
                <w:rPr>
                  <w:rFonts w:ascii="Cambria Math" w:eastAsiaTheme="minorEastAsia" w:hAnsi="Cambria Math"/>
                </w:rPr>
              </m:ctrlPr>
            </m:fPr>
            <m:num>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num>
            <m:den>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r>
            <m:rPr>
              <m:sty m:val="p"/>
            </m:rPr>
            <w:rPr>
              <w:rFonts w:ascii="Cambria Math" w:eastAsiaTheme="minorEastAsia" w:hAnsi="Cambria Math"/>
            </w:rPr>
            <m:t>=2∙</m:t>
          </m:r>
          <m:f>
            <m:fPr>
              <m:ctrlPr>
                <w:rPr>
                  <w:rFonts w:ascii="Cambria Math" w:eastAsiaTheme="minorEastAsia" w:hAnsi="Cambria Math"/>
                </w:rPr>
              </m:ctrlPr>
            </m:fPr>
            <m:num>
              <m:r>
                <m:rPr>
                  <m:sty m:val="p"/>
                </m:rPr>
                <w:rPr>
                  <w:rFonts w:ascii="Cambria Math" w:eastAsiaTheme="minorEastAsia" w:hAnsi="Cambria Math"/>
                </w:rPr>
                <m:t>V(</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m:t>
              </m:r>
            </m:num>
            <m:den>
              <m:r>
                <m:rPr>
                  <m:sty m:val="p"/>
                </m:rPr>
                <w:rPr>
                  <w:rFonts w:ascii="Cambria Math" w:eastAsiaTheme="minorEastAsia" w:hAnsi="Cambria Math"/>
                </w:rPr>
                <m:t>V</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oMath>
      </m:oMathPara>
    </w:p>
    <w:p w:rsidR="00E81186" w:rsidRDefault="00E81186" w:rsidP="00E81186">
      <w:pPr>
        <w:tabs>
          <w:tab w:val="left" w:pos="1701"/>
          <w:tab w:val="left" w:pos="1985"/>
        </w:tabs>
        <w:ind w:left="1980" w:hanging="1980"/>
        <w:jc w:val="center"/>
      </w:pPr>
    </w:p>
    <w:p w:rsidR="00E81186" w:rsidRDefault="00E81186" w:rsidP="00E81186">
      <w:pPr>
        <w:tabs>
          <w:tab w:val="left" w:pos="1701"/>
          <w:tab w:val="left" w:pos="1985"/>
        </w:tabs>
        <w:ind w:left="1980" w:hanging="1980"/>
        <w:rPr>
          <w:rFonts w:eastAsiaTheme="minorEastAsia"/>
        </w:rPr>
      </w:pPr>
      <w:r>
        <w:t>Fehlerbetrachtung:</w:t>
      </w:r>
      <w:r>
        <w:tab/>
      </w:r>
      <w:r>
        <w:tab/>
        <w:t xml:space="preserve">Der vorgeschlagene Versuchsaufbau (s. Abbildung 3) ist nicht geeignet, um den Versuch vernünftig durchzuführen, da das System nicht so mit Stickstoff gespült werden kann, dass sich keine Luft mehr in diesem befindet. Dadurch wird das Eisen durch Erhitzen oxidiert, statt dass sich der Kohlenwasserstoff zersetzt. Aus diesem Grund wird es bei der Durchführung zu keiner Volumenvergrößerung gekommen sein. Darüber hinaus kann es passieren, dass Wasserstoff mit dem im System </w:t>
      </w:r>
      <w:r>
        <w:lastRenderedPageBreak/>
        <w:t>befindlichen Sauerstoff reagiert und es zur Explosion kommt. Es müsste nach Alternativen gesucht werden.</w:t>
      </w:r>
    </w:p>
    <w:p w:rsidR="00E81186" w:rsidRDefault="00FC00CE" w:rsidP="00E81186">
      <w:pPr>
        <w:tabs>
          <w:tab w:val="left" w:pos="1701"/>
          <w:tab w:val="left" w:pos="1985"/>
        </w:tabs>
        <w:ind w:left="1980" w:hanging="1980"/>
      </w:pPr>
      <w:r>
        <w:pict>
          <v:shape id="_x0000_s1030" type="#_x0000_t202" style="width:462.45pt;height:22.35pt;mso-position-horizontal-relative:char;mso-position-vertical-relative:line;mso-width-relative:margin;mso-height-relative:margin" fillcolor="white [3201]" strokecolor="#c0504d [3205]" strokeweight="1pt">
            <v:stroke dashstyle="dash"/>
            <v:shadow color="#868686"/>
            <v:textbox style="mso-next-textbox:#_x0000_s1030">
              <w:txbxContent>
                <w:p w:rsidR="00E81186" w:rsidRPr="00BD2A55" w:rsidRDefault="00E81186" w:rsidP="00E81186">
                  <w:pPr>
                    <w:rPr>
                      <w:color w:val="1F497D" w:themeColor="text2"/>
                    </w:rPr>
                  </w:pPr>
                  <w:r>
                    <w:rPr>
                      <w:color w:val="1F497D" w:themeColor="text2"/>
                    </w:rPr>
                    <w:t>Die Eisenspäne werden im Schwermetallbehälter, das entstandene Gas im Abzug entsorgt.</w:t>
                  </w:r>
                </w:p>
                <w:p w:rsidR="00E81186" w:rsidRDefault="00E81186" w:rsidP="00E81186">
                  <w:pPr>
                    <w:rPr>
                      <w:b/>
                      <w:color w:val="1F497D" w:themeColor="text2"/>
                    </w:rPr>
                  </w:pPr>
                </w:p>
                <w:p w:rsidR="00E81186" w:rsidRDefault="00E81186" w:rsidP="00E81186">
                  <w:pPr>
                    <w:rPr>
                      <w:b/>
                      <w:color w:val="1F497D" w:themeColor="text2"/>
                    </w:rPr>
                  </w:pPr>
                </w:p>
                <w:p w:rsidR="00E81186" w:rsidRPr="000D10FB" w:rsidRDefault="00E81186" w:rsidP="00E81186">
                  <w:pPr>
                    <w:rPr>
                      <w:color w:val="1F497D" w:themeColor="text2"/>
                    </w:rPr>
                  </w:pPr>
                  <w:r>
                    <w:rPr>
                      <w:b/>
                      <w:color w:val="1F497D" w:themeColor="text2"/>
                    </w:rPr>
                    <w:t xml:space="preserve"> </w:t>
                  </w:r>
                </w:p>
              </w:txbxContent>
            </v:textbox>
            <w10:wrap type="none"/>
            <w10:anchorlock/>
          </v:shape>
        </w:pict>
      </w:r>
    </w:p>
    <w:p w:rsidR="00E81186" w:rsidRDefault="00FC00CE" w:rsidP="00E81186">
      <w:pPr>
        <w:tabs>
          <w:tab w:val="left" w:pos="1701"/>
          <w:tab w:val="left" w:pos="1985"/>
        </w:tabs>
        <w:ind w:left="1980" w:hanging="1980"/>
      </w:pPr>
      <w:r>
        <w:pict>
          <v:shape id="_x0000_s1029" type="#_x0000_t202" style="width:462.45pt;height:46.2pt;mso-position-horizontal-relative:char;mso-position-vertical-relative:line;mso-width-relative:margin;mso-height-relative:margin" fillcolor="white [3201]" strokecolor="#c0504d [3205]" strokeweight="1pt">
            <v:stroke dashstyle="dash"/>
            <v:shadow color="#868686"/>
            <v:textbox style="mso-next-textbox:#_x0000_s1029">
              <w:txbxContent>
                <w:p w:rsidR="00E81186" w:rsidRPr="00BD2A55" w:rsidRDefault="00E81186" w:rsidP="00E81186">
                  <w:pPr>
                    <w:rPr>
                      <w:color w:val="1F497D" w:themeColor="text2"/>
                    </w:rPr>
                  </w:pPr>
                  <w:r>
                    <w:rPr>
                      <w:color w:val="1F497D" w:themeColor="text2"/>
                    </w:rPr>
                    <w:t>Ein alternativer Versuchsaufbau würde sich zur genaueren Analyse eines Kohlenwasserstoffs in Kombination der Molmassen- und Kohlenstoffbestimmung anbieten.</w:t>
                  </w:r>
                </w:p>
                <w:p w:rsidR="00E81186" w:rsidRDefault="00E81186" w:rsidP="00E81186">
                  <w:pPr>
                    <w:rPr>
                      <w:b/>
                      <w:color w:val="1F497D" w:themeColor="text2"/>
                    </w:rPr>
                  </w:pPr>
                </w:p>
                <w:p w:rsidR="00E81186" w:rsidRDefault="00E81186" w:rsidP="00E81186">
                  <w:pPr>
                    <w:rPr>
                      <w:b/>
                      <w:color w:val="1F497D" w:themeColor="text2"/>
                    </w:rPr>
                  </w:pPr>
                </w:p>
                <w:p w:rsidR="00E81186" w:rsidRPr="000D10FB" w:rsidRDefault="00E81186" w:rsidP="00E81186">
                  <w:pPr>
                    <w:rPr>
                      <w:color w:val="1F497D" w:themeColor="text2"/>
                    </w:rPr>
                  </w:pPr>
                  <w:r>
                    <w:rPr>
                      <w:b/>
                      <w:color w:val="1F497D" w:themeColor="text2"/>
                    </w:rPr>
                    <w:t xml:space="preserve"> </w:t>
                  </w:r>
                </w:p>
              </w:txbxContent>
            </v:textbox>
            <w10:wrap type="none"/>
            <w10:anchorlock/>
          </v:shape>
        </w:pict>
      </w:r>
    </w:p>
    <w:p w:rsidR="00E81186" w:rsidRDefault="00E81186" w:rsidP="00E81186">
      <w:pPr>
        <w:spacing w:line="276" w:lineRule="auto"/>
        <w:ind w:left="1410" w:hanging="1410"/>
        <w:jc w:val="left"/>
      </w:pPr>
      <w:r>
        <w:t>Literatur:</w:t>
      </w:r>
      <w:r>
        <w:tab/>
      </w:r>
      <w:r>
        <w:rPr>
          <w:rFonts w:asciiTheme="majorHAnsi" w:hAnsiTheme="majorHAnsi"/>
        </w:rPr>
        <w:t xml:space="preserve">[1] W. Glöckner, W. Jansen, R. G. </w:t>
      </w:r>
      <w:proofErr w:type="spellStart"/>
      <w:r>
        <w:rPr>
          <w:rFonts w:asciiTheme="majorHAnsi" w:hAnsiTheme="majorHAnsi"/>
        </w:rPr>
        <w:t>Weissenhorn</w:t>
      </w:r>
      <w:proofErr w:type="spellEnd"/>
      <w:r>
        <w:rPr>
          <w:rFonts w:asciiTheme="majorHAnsi" w:hAnsiTheme="majorHAnsi"/>
        </w:rPr>
        <w:t xml:space="preserve"> (Hrsg.), Handbuch der experimentellen Chemie – Sekundarstufe II, Band 9: Kohlenwasserstoffe, </w:t>
      </w:r>
      <w:proofErr w:type="spellStart"/>
      <w:r>
        <w:rPr>
          <w:rFonts w:asciiTheme="majorHAnsi" w:hAnsiTheme="majorHAnsi"/>
        </w:rPr>
        <w:t>Alius</w:t>
      </w:r>
      <w:proofErr w:type="spellEnd"/>
      <w:r>
        <w:rPr>
          <w:rFonts w:asciiTheme="majorHAnsi" w:hAnsiTheme="majorHAnsi"/>
        </w:rPr>
        <w:t xml:space="preserve"> Verlag </w:t>
      </w:r>
      <w:proofErr w:type="spellStart"/>
      <w:r>
        <w:rPr>
          <w:rFonts w:asciiTheme="majorHAnsi" w:hAnsiTheme="majorHAnsi"/>
        </w:rPr>
        <w:t>Deubner</w:t>
      </w:r>
      <w:proofErr w:type="spellEnd"/>
      <w:r>
        <w:rPr>
          <w:rFonts w:asciiTheme="majorHAnsi" w:hAnsiTheme="majorHAnsi"/>
        </w:rPr>
        <w:t>, 2005, S. 60-61</w:t>
      </w:r>
    </w:p>
    <w:p w:rsidR="002E7384" w:rsidRDefault="002E7384"/>
    <w:sectPr w:rsidR="002E7384" w:rsidSect="002E73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1186"/>
    <w:rsid w:val="002E7384"/>
    <w:rsid w:val="004F062B"/>
    <w:rsid w:val="00AC6935"/>
    <w:rsid w:val="00AF2A0A"/>
    <w:rsid w:val="00B25EE7"/>
    <w:rsid w:val="00D502F8"/>
    <w:rsid w:val="00E81186"/>
    <w:rsid w:val="00F4285B"/>
    <w:rsid w:val="00FC00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118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8118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8118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8118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8118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811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811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811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11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811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18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8118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8118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8118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8118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8118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8118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8118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8118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8118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81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118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2065</Characters>
  <Application>Microsoft Office Word</Application>
  <DocSecurity>0</DocSecurity>
  <Lines>17</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3</cp:revision>
  <dcterms:created xsi:type="dcterms:W3CDTF">2014-08-26T15:23:00Z</dcterms:created>
  <dcterms:modified xsi:type="dcterms:W3CDTF">2014-08-27T07:31:00Z</dcterms:modified>
</cp:coreProperties>
</file>