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39" w:rsidRDefault="004F1139" w:rsidP="004F1139">
      <w:pPr>
        <w:pStyle w:val="berschrift2"/>
        <w:numPr>
          <w:ilvl w:val="0"/>
          <w:numId w:val="0"/>
        </w:numPr>
        <w:ind w:left="576" w:hanging="576"/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05pt;margin-top:60.05pt;width:462.45pt;height:60.5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4F1139" w:rsidRPr="000D10FB" w:rsidRDefault="004F1139" w:rsidP="004F1139">
                  <w:pPr>
                    <w:rPr>
                      <w:color w:val="1F497D" w:themeColor="text2"/>
                    </w:rPr>
                  </w:pPr>
                  <w:r>
                    <w:rPr>
                      <w:color w:val="1F497D" w:themeColor="text2"/>
                    </w:rPr>
                    <w:t xml:space="preserve">Um die Nitrierung von Phenol zu verstehen, müssen die </w:t>
                  </w:r>
                  <w:proofErr w:type="spellStart"/>
                  <w:r>
                    <w:rPr>
                      <w:color w:val="1F497D" w:themeColor="text2"/>
                    </w:rPr>
                    <w:t>SuS</w:t>
                  </w:r>
                  <w:proofErr w:type="spellEnd"/>
                  <w:r>
                    <w:rPr>
                      <w:color w:val="1F497D" w:themeColor="text2"/>
                    </w:rPr>
                    <w:t xml:space="preserve"> die </w:t>
                  </w:r>
                  <w:proofErr w:type="spellStart"/>
                  <w:r>
                    <w:rPr>
                      <w:color w:val="1F497D" w:themeColor="text2"/>
                    </w:rPr>
                    <w:t>elektrophile</w:t>
                  </w:r>
                  <w:proofErr w:type="spellEnd"/>
                  <w:r>
                    <w:rPr>
                      <w:color w:val="1F497D" w:themeColor="text2"/>
                    </w:rPr>
                    <w:t xml:space="preserve"> aromatische Substitution kennen. Da es sich um eine Zweitsubstitution handelt, sollte auch darauf in der De</w:t>
                  </w:r>
                  <w:r>
                    <w:rPr>
                      <w:color w:val="1F497D" w:themeColor="text2"/>
                    </w:rPr>
                    <w:t>u</w:t>
                  </w:r>
                  <w:r>
                    <w:rPr>
                      <w:color w:val="1F497D" w:themeColor="text2"/>
                    </w:rPr>
                    <w:t xml:space="preserve">tung eingegangen werden. </w:t>
                  </w:r>
                </w:p>
                <w:p w:rsidR="004F1139" w:rsidRPr="002E31E6" w:rsidRDefault="004F1139" w:rsidP="004F1139"/>
              </w:txbxContent>
            </v:textbox>
            <w10:wrap type="square"/>
          </v:shape>
        </w:pict>
      </w:r>
      <w:bookmarkStart w:id="0" w:name="_Toc396470236"/>
      <w:r>
        <w:t>V 1- KKK- Regel: Nitrierung von Phenol</w:t>
      </w:r>
      <w:bookmarkEnd w:id="0"/>
      <w:r>
        <w:t xml:space="preserve">  </w:t>
      </w:r>
    </w:p>
    <w:p w:rsidR="004F1139" w:rsidRDefault="004F1139" w:rsidP="004F1139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4F1139" w:rsidRPr="009C5E28" w:rsidTr="008A2234">
        <w:tc>
          <w:tcPr>
            <w:tcW w:w="9322" w:type="dxa"/>
            <w:gridSpan w:val="9"/>
            <w:shd w:val="clear" w:color="auto" w:fill="4F81BD"/>
            <w:vAlign w:val="center"/>
          </w:tcPr>
          <w:p w:rsidR="004F1139" w:rsidRPr="009C5E28" w:rsidRDefault="004F1139" w:rsidP="008A2234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4F1139" w:rsidRPr="009C5E28" w:rsidTr="008A2234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F1139" w:rsidRPr="009C5E28" w:rsidRDefault="004F1139" w:rsidP="008A2234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Phenol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F1139" w:rsidRPr="009C5E28" w:rsidRDefault="004F1139" w:rsidP="008A2234">
            <w:pPr>
              <w:spacing w:after="0"/>
              <w:jc w:val="center"/>
            </w:pPr>
            <w:r w:rsidRPr="000B4628">
              <w:rPr>
                <w:sz w:val="20"/>
              </w:rPr>
              <w:t>H</w:t>
            </w:r>
            <w:r>
              <w:rPr>
                <w:sz w:val="20"/>
              </w:rPr>
              <w:t>: 341+331+311+301+373+</w:t>
            </w:r>
            <w:r w:rsidRPr="000B4628">
              <w:rPr>
                <w:sz w:val="20"/>
              </w:rPr>
              <w:t xml:space="preserve">314    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F1139" w:rsidRPr="009C5E28" w:rsidRDefault="004F1139" w:rsidP="008A2234">
            <w:pPr>
              <w:spacing w:after="0"/>
              <w:jc w:val="center"/>
            </w:pPr>
            <w:r>
              <w:rPr>
                <w:sz w:val="20"/>
              </w:rPr>
              <w:t>P:280+302+352+301+330+331+309+310+305+351+</w:t>
            </w:r>
            <w:r w:rsidRPr="000B4628">
              <w:rPr>
                <w:sz w:val="20"/>
              </w:rPr>
              <w:t xml:space="preserve">338   </w:t>
            </w:r>
          </w:p>
        </w:tc>
      </w:tr>
      <w:tr w:rsidR="004F1139" w:rsidRPr="009C5E28" w:rsidTr="008A2234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F1139" w:rsidRDefault="004F1139" w:rsidP="008A2234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Salpetersäure (</w:t>
            </w:r>
            <w:proofErr w:type="spellStart"/>
            <w:r>
              <w:rPr>
                <w:sz w:val="20"/>
              </w:rPr>
              <w:t>konz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F1139" w:rsidRPr="000B4628" w:rsidRDefault="004F1139" w:rsidP="008A2234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272+314+</w:t>
            </w:r>
            <w:r w:rsidRPr="001F6777">
              <w:rPr>
                <w:sz w:val="20"/>
              </w:rPr>
              <w:t xml:space="preserve">290    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F1139" w:rsidRDefault="004F1139" w:rsidP="008A2234">
            <w:pPr>
              <w:spacing w:after="0"/>
              <w:jc w:val="center"/>
              <w:rPr>
                <w:sz w:val="20"/>
              </w:rPr>
            </w:pPr>
            <w:r w:rsidRPr="001F6777">
              <w:rPr>
                <w:sz w:val="20"/>
              </w:rPr>
              <w:t>P</w:t>
            </w:r>
            <w:r>
              <w:rPr>
                <w:sz w:val="20"/>
              </w:rPr>
              <w:t>:260+280+301+330+331+305+351+</w:t>
            </w:r>
            <w:r w:rsidRPr="001F6777">
              <w:rPr>
                <w:sz w:val="20"/>
              </w:rPr>
              <w:t xml:space="preserve">338  </w:t>
            </w:r>
          </w:p>
        </w:tc>
      </w:tr>
      <w:tr w:rsidR="004F1139" w:rsidRPr="009C5E28" w:rsidTr="008A2234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4F1139" w:rsidRPr="009C5E28" w:rsidRDefault="004F1139" w:rsidP="008A2234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Salzsäure (</w:t>
            </w:r>
            <w:proofErr w:type="spellStart"/>
            <w:r>
              <w:rPr>
                <w:color w:val="auto"/>
                <w:sz w:val="20"/>
                <w:szCs w:val="20"/>
              </w:rPr>
              <w:t>halbkonz</w:t>
            </w:r>
            <w:proofErr w:type="spellEnd"/>
            <w:r>
              <w:rPr>
                <w:color w:val="auto"/>
                <w:sz w:val="20"/>
                <w:szCs w:val="20"/>
              </w:rPr>
              <w:t>.)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4F1139" w:rsidRPr="00EC089C" w:rsidRDefault="004F1139" w:rsidP="008A2234">
            <w:pPr>
              <w:spacing w:after="0"/>
              <w:jc w:val="center"/>
              <w:rPr>
                <w:sz w:val="20"/>
              </w:rPr>
            </w:pPr>
          </w:p>
          <w:p w:rsidR="004F1139" w:rsidRPr="009C5E28" w:rsidRDefault="004F1139" w:rsidP="008A2234">
            <w:pPr>
              <w:spacing w:after="0"/>
              <w:jc w:val="center"/>
              <w:rPr>
                <w:sz w:val="20"/>
              </w:rPr>
            </w:pPr>
            <w:r w:rsidRPr="00EC089C">
              <w:rPr>
                <w:sz w:val="20"/>
              </w:rPr>
              <w:t>H</w:t>
            </w:r>
            <w:r>
              <w:rPr>
                <w:sz w:val="20"/>
              </w:rPr>
              <w:t>: 315+</w:t>
            </w:r>
            <w:r w:rsidRPr="00EC089C">
              <w:rPr>
                <w:sz w:val="20"/>
              </w:rPr>
              <w:t xml:space="preserve">335  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4F1139" w:rsidRPr="009C5E28" w:rsidRDefault="004F1139" w:rsidP="008A2234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261+280+305+338+</w:t>
            </w:r>
            <w:r w:rsidRPr="00EC089C">
              <w:rPr>
                <w:sz w:val="20"/>
              </w:rPr>
              <w:t>310</w:t>
            </w:r>
          </w:p>
        </w:tc>
      </w:tr>
      <w:tr w:rsidR="004F1139" w:rsidRPr="009C5E28" w:rsidTr="008A2234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F1139" w:rsidRPr="009C5E28" w:rsidRDefault="004F1139" w:rsidP="008A223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2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F1139" w:rsidRPr="009C5E28" w:rsidRDefault="004F1139" w:rsidP="008A22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67546" cy="567546"/>
                  <wp:effectExtent l="19050" t="0" r="3954" b="0"/>
                  <wp:docPr id="25" name="Bild 7" descr="C:\Users\noraa\Documents\SVP Chemie\Piktogramme\Piktogramme\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noraa\Documents\SVP Chemie\Piktogramme\Piktogramme\Brandförder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031" cy="568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F1139" w:rsidRPr="009C5E28" w:rsidRDefault="004F1139" w:rsidP="008A22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7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F1139" w:rsidRPr="009C5E28" w:rsidRDefault="004F1139" w:rsidP="008A22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F1139" w:rsidRPr="009C5E28" w:rsidRDefault="004F1139" w:rsidP="008A22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9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F1139" w:rsidRPr="009C5E28" w:rsidRDefault="004F1139" w:rsidP="008A22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7161" cy="507161"/>
                  <wp:effectExtent l="19050" t="0" r="7189" b="0"/>
                  <wp:docPr id="20" name="Bild 12" descr="C:\Users\noraa\Documents\SVP Chemie\Piktogramme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noraa\Documents\SVP Chemie\Piktogramme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595" cy="507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F1139" w:rsidRPr="009C5E28" w:rsidRDefault="004F1139" w:rsidP="008A22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33040" cy="533040"/>
                  <wp:effectExtent l="0" t="0" r="360" b="0"/>
                  <wp:docPr id="21" name="Bild 11" descr="C:\Users\noraa\Documents\SVP Chemie\Piktogramme\Piktogramme\Gift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noraa\Documents\SVP Chemie\Piktogramme\Piktogramme\Gift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6" cy="534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F1139" w:rsidRPr="009C5E28" w:rsidRDefault="004F1139" w:rsidP="008A22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33040" cy="533040"/>
                  <wp:effectExtent l="0" t="0" r="360" b="0"/>
                  <wp:docPr id="22" name="Bild 13" descr="C:\Users\noraa\Documents\SVP Chemie\Piktogramme\Piktogramme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noraa\Documents\SVP Chemie\Piktogramme\Piktogramme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046" cy="532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F1139" w:rsidRPr="009C5E28" w:rsidRDefault="004F1139" w:rsidP="008A22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603849" cy="603849"/>
                  <wp:effectExtent l="19050" t="0" r="5751" b="0"/>
                  <wp:docPr id="42" name="Bild 8" descr="C:\Users\noraa\Documents\SVP Chemie\Piktogramme\Piktogramme\Grau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noraa\Documents\SVP Chemie\Piktogramme\Piktogramme\Grau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421" cy="603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139" w:rsidRDefault="004F1139" w:rsidP="004F1139">
      <w:pPr>
        <w:tabs>
          <w:tab w:val="left" w:pos="1701"/>
          <w:tab w:val="left" w:pos="1985"/>
        </w:tabs>
        <w:ind w:left="1980" w:hanging="1980"/>
      </w:pPr>
    </w:p>
    <w:p w:rsidR="004F1139" w:rsidRDefault="004F1139" w:rsidP="004F1139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Reagenzglas, </w:t>
      </w:r>
      <w:proofErr w:type="spellStart"/>
      <w:r>
        <w:t>Messpipette</w:t>
      </w:r>
      <w:proofErr w:type="spellEnd"/>
      <w:r>
        <w:t>, Tropfpipette</w:t>
      </w:r>
    </w:p>
    <w:p w:rsidR="004F1139" w:rsidRPr="00ED07C2" w:rsidRDefault="004F1139" w:rsidP="004F1139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Phenol, Salzsäure (</w:t>
      </w:r>
      <w:proofErr w:type="spellStart"/>
      <w:r>
        <w:t>halbkonz</w:t>
      </w:r>
      <w:proofErr w:type="spellEnd"/>
      <w:r>
        <w:t>.), Salpetersäure (</w:t>
      </w:r>
      <w:proofErr w:type="spellStart"/>
      <w:r>
        <w:t>konz</w:t>
      </w:r>
      <w:proofErr w:type="spellEnd"/>
      <w:r>
        <w:t>.)</w:t>
      </w:r>
    </w:p>
    <w:p w:rsidR="004F1139" w:rsidRDefault="004F1139" w:rsidP="004F1139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  <w:t xml:space="preserve"> </w:t>
      </w:r>
      <w:r>
        <w:tab/>
        <w:t xml:space="preserve">Unter dem Abzug wird in das Reagenzglas eine </w:t>
      </w:r>
      <w:proofErr w:type="spellStart"/>
      <w:r>
        <w:t>Spatelspitze</w:t>
      </w:r>
      <w:proofErr w:type="spellEnd"/>
      <w:r>
        <w:t xml:space="preserve"> Phenol geg</w:t>
      </w:r>
      <w:r>
        <w:t>e</w:t>
      </w:r>
      <w:r>
        <w:t xml:space="preserve">ben. Dann werden dazu 5 </w:t>
      </w:r>
      <w:proofErr w:type="spellStart"/>
      <w:r>
        <w:t>mL</w:t>
      </w:r>
      <w:proofErr w:type="spellEnd"/>
      <w:r>
        <w:t xml:space="preserve"> halbkonzentrierte Salzsäure gegeben. Die L</w:t>
      </w:r>
      <w:r>
        <w:t>ö</w:t>
      </w:r>
      <w:r>
        <w:t>sung wird im Wasserbad erhitzt. In die Lösung werden 1-2 Tropfen Salp</w:t>
      </w:r>
      <w:r>
        <w:t>e</w:t>
      </w:r>
      <w:r>
        <w:t xml:space="preserve">tersäure getropft.   </w:t>
      </w:r>
    </w:p>
    <w:p w:rsidR="004F1139" w:rsidRDefault="004F1139" w:rsidP="004F1139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2611156</wp:posOffset>
            </wp:positionH>
            <wp:positionV relativeFrom="paragraph">
              <wp:posOffset>282156</wp:posOffset>
            </wp:positionV>
            <wp:extent cx="731448" cy="1449237"/>
            <wp:effectExtent l="19050" t="0" r="0" b="0"/>
            <wp:wrapNone/>
            <wp:docPr id="55" name="Bild 13" descr="C:\Users\noraa\Desktop\Fotosaromate\DSCN8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oraa\Desktop\Fotosaromate\DSCN827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48" cy="1449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Beobachtung:</w:t>
      </w:r>
      <w:r>
        <w:tab/>
      </w:r>
      <w:r>
        <w:tab/>
      </w:r>
      <w:r>
        <w:tab/>
        <w:t xml:space="preserve">Die Lösung wird dunkelbraun. </w:t>
      </w:r>
    </w:p>
    <w:p w:rsidR="004F1139" w:rsidRDefault="004F1139" w:rsidP="004F1139">
      <w:pPr>
        <w:keepNext/>
        <w:tabs>
          <w:tab w:val="left" w:pos="1701"/>
          <w:tab w:val="left" w:pos="1985"/>
        </w:tabs>
        <w:ind w:left="1980" w:hanging="1980"/>
      </w:pPr>
    </w:p>
    <w:p w:rsidR="004F1139" w:rsidRDefault="004F1139" w:rsidP="004F1139">
      <w:pPr>
        <w:keepNext/>
        <w:tabs>
          <w:tab w:val="left" w:pos="1701"/>
          <w:tab w:val="left" w:pos="1985"/>
        </w:tabs>
        <w:ind w:left="1980" w:hanging="1980"/>
      </w:pPr>
    </w:p>
    <w:p w:rsidR="004F1139" w:rsidRDefault="004F1139" w:rsidP="004F1139">
      <w:pPr>
        <w:keepNext/>
        <w:tabs>
          <w:tab w:val="left" w:pos="1701"/>
          <w:tab w:val="left" w:pos="1985"/>
        </w:tabs>
        <w:ind w:left="1980" w:hanging="1980"/>
      </w:pPr>
    </w:p>
    <w:p w:rsidR="004F1139" w:rsidRDefault="004F1139" w:rsidP="004F1139">
      <w:pPr>
        <w:keepNext/>
        <w:tabs>
          <w:tab w:val="left" w:pos="1701"/>
          <w:tab w:val="left" w:pos="1985"/>
        </w:tabs>
        <w:ind w:left="1980" w:hanging="1980"/>
      </w:pPr>
    </w:p>
    <w:p w:rsidR="004F1139" w:rsidRDefault="004F1139" w:rsidP="004F1139">
      <w:pPr>
        <w:pStyle w:val="Beschriftung"/>
        <w:jc w:val="left"/>
      </w:pPr>
      <w:r>
        <w:t xml:space="preserve">Abb. </w:t>
      </w:r>
      <w:fldSimple w:instr=" SEQ Abb. \* ARABIC ">
        <w:r>
          <w:rPr>
            <w:noProof/>
          </w:rPr>
          <w:t>1</w:t>
        </w:r>
      </w:fldSimple>
      <w:r>
        <w:t xml:space="preserve"> - </w:t>
      </w:r>
      <w:r>
        <w:rPr>
          <w:noProof/>
        </w:rPr>
        <w:t xml:space="preserve"> Dunkelbrauner Niederschlag des Nitropenols.</w:t>
      </w:r>
    </w:p>
    <w:p w:rsidR="004F1139" w:rsidRDefault="004F1139" w:rsidP="004F1139">
      <w:pPr>
        <w:tabs>
          <w:tab w:val="left" w:pos="1701"/>
          <w:tab w:val="left" w:pos="1985"/>
        </w:tabs>
      </w:pPr>
    </w:p>
    <w:p w:rsidR="004F1139" w:rsidRDefault="004F1139" w:rsidP="004F1139">
      <w:pPr>
        <w:tabs>
          <w:tab w:val="left" w:pos="1701"/>
          <w:tab w:val="left" w:pos="1985"/>
        </w:tabs>
        <w:ind w:left="1980" w:hanging="1980"/>
      </w:pPr>
      <w:r>
        <w:lastRenderedPageBreak/>
        <w:t>Deutung:</w:t>
      </w:r>
      <w:r>
        <w:tab/>
      </w:r>
      <w:r>
        <w:tab/>
      </w:r>
      <w:r>
        <w:tab/>
        <w:t>Zunächst wird NO</w:t>
      </w:r>
      <w:r>
        <w:rPr>
          <w:vertAlign w:val="subscript"/>
        </w:rPr>
        <w:t>2</w:t>
      </w:r>
      <w:r>
        <w:rPr>
          <w:vertAlign w:val="superscript"/>
        </w:rPr>
        <w:t xml:space="preserve">+ </w:t>
      </w:r>
      <w:r>
        <w:t xml:space="preserve">als </w:t>
      </w:r>
      <w:proofErr w:type="spellStart"/>
      <w:r>
        <w:t>elektrophiles</w:t>
      </w:r>
      <w:proofErr w:type="spellEnd"/>
      <w:r>
        <w:t xml:space="preserve"> Kation</w:t>
      </w:r>
      <w:r w:rsidRPr="005E5AF6">
        <w:t xml:space="preserve"> </w:t>
      </w:r>
      <w:r>
        <w:t xml:space="preserve">gebildet, gemäß folgender Reaktionsgleichung: </w:t>
      </w:r>
    </w:p>
    <w:p w:rsidR="004F1139" w:rsidRPr="005E5AF6" w:rsidRDefault="004F1139" w:rsidP="004F1139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</w:r>
      <w:r>
        <w:tab/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</m:sup>
            </m:sSubSup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+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/>
          </w:rPr>
          <m:t>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(l)</m:t>
            </m:r>
          </m:sub>
        </m:sSub>
        <m:r>
          <m:rPr>
            <m:sty m:val="p"/>
          </m:rPr>
          <w:rPr>
            <w:rFonts w:ascii="Cambria Math" w:hAnsi="Cambria Math"/>
          </w:rPr>
          <m:t>+ 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</m:sup>
            </m:sSubSup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</m:oMath>
    </w:p>
    <w:p w:rsidR="004F1139" w:rsidRPr="00940309" w:rsidRDefault="004F1139" w:rsidP="004F1139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3670935</wp:posOffset>
            </wp:positionH>
            <wp:positionV relativeFrom="paragraph">
              <wp:posOffset>592455</wp:posOffset>
            </wp:positionV>
            <wp:extent cx="561340" cy="1285240"/>
            <wp:effectExtent l="19050" t="0" r="0" b="0"/>
            <wp:wrapNone/>
            <wp:docPr id="91" name="Bild 48" descr="C:\Users\noraa\Documents\SVP Chemie\Aromaten\paranitrophenol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noraa\Documents\SVP Chemie\Aromaten\paranitrophenol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  <w:t xml:space="preserve">Dieses steht in Wechselwirkung mit dem Phenol. Es substituiert in </w:t>
      </w:r>
      <w:proofErr w:type="spellStart"/>
      <w:r>
        <w:t>ortho</w:t>
      </w:r>
      <w:proofErr w:type="spellEnd"/>
      <w:r>
        <w:t xml:space="preserve">- und </w:t>
      </w:r>
      <w:proofErr w:type="spellStart"/>
      <w:r>
        <w:t>para</w:t>
      </w:r>
      <w:proofErr w:type="spellEnd"/>
      <w:r>
        <w:t xml:space="preserve">-Stellung und es entstehen vor allem </w:t>
      </w:r>
      <w:proofErr w:type="spellStart"/>
      <w:r>
        <w:t>para</w:t>
      </w:r>
      <w:proofErr w:type="spellEnd"/>
      <w:r>
        <w:t xml:space="preserve">- und </w:t>
      </w:r>
      <w:proofErr w:type="spellStart"/>
      <w:r>
        <w:t>ortho-Nitrophenol</w:t>
      </w:r>
      <w:proofErr w:type="spellEnd"/>
      <w:r>
        <w:t xml:space="preserve">. </w:t>
      </w:r>
    </w:p>
    <w:p w:rsidR="004F1139" w:rsidRDefault="004F1139" w:rsidP="004F1139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1482893</wp:posOffset>
            </wp:positionH>
            <wp:positionV relativeFrom="paragraph">
              <wp:posOffset>172912</wp:posOffset>
            </wp:positionV>
            <wp:extent cx="1016120" cy="897147"/>
            <wp:effectExtent l="19050" t="0" r="0" b="0"/>
            <wp:wrapNone/>
            <wp:docPr id="90" name="Bild 47" descr="C:\Users\noraa\Documents\SVP Chemie\Aromaten\orthonitrophenol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noraa\Documents\SVP Chemie\Aromaten\orthonitrophenol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120" cy="897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</w:p>
    <w:p w:rsidR="004F1139" w:rsidRDefault="004F1139" w:rsidP="004F1139">
      <w:pPr>
        <w:tabs>
          <w:tab w:val="left" w:pos="1701"/>
          <w:tab w:val="left" w:pos="1985"/>
        </w:tabs>
        <w:ind w:left="1980" w:hanging="1980"/>
      </w:pPr>
    </w:p>
    <w:p w:rsidR="004F1139" w:rsidRDefault="004F1139" w:rsidP="004F1139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</w:r>
      <w:r>
        <w:tab/>
      </w:r>
      <w:r>
        <w:tab/>
      </w:r>
    </w:p>
    <w:p w:rsidR="004F1139" w:rsidRPr="002E31E6" w:rsidRDefault="004F1139" w:rsidP="004F1139">
      <w:pPr>
        <w:tabs>
          <w:tab w:val="left" w:pos="1701"/>
          <w:tab w:val="left" w:pos="1985"/>
        </w:tabs>
        <w:ind w:left="1980" w:hanging="1980"/>
      </w:pPr>
      <w:r w:rsidRPr="002E31E6">
        <w:tab/>
      </w:r>
      <w:r w:rsidRPr="002E31E6">
        <w:tab/>
      </w:r>
      <w:r w:rsidRPr="002E31E6">
        <w:tab/>
      </w:r>
      <w:r w:rsidRPr="002E31E6">
        <w:tab/>
      </w:r>
      <w:proofErr w:type="spellStart"/>
      <w:r w:rsidRPr="002E31E6">
        <w:t>Ortho-Nitrophenol</w:t>
      </w:r>
      <w:proofErr w:type="spellEnd"/>
      <w:r w:rsidRPr="002E31E6">
        <w:tab/>
      </w:r>
      <w:r w:rsidRPr="002E31E6">
        <w:tab/>
      </w:r>
      <w:r w:rsidRPr="002E31E6">
        <w:tab/>
      </w:r>
      <w:r w:rsidRPr="002E31E6">
        <w:tab/>
      </w:r>
      <w:r w:rsidRPr="002E31E6">
        <w:tab/>
        <w:t>Para-</w:t>
      </w:r>
      <w:proofErr w:type="spellStart"/>
      <w:r w:rsidRPr="002E31E6">
        <w:t>Nitrophenol</w:t>
      </w:r>
      <w:proofErr w:type="spellEnd"/>
    </w:p>
    <w:p w:rsidR="004F1139" w:rsidRPr="002E31E6" w:rsidRDefault="004F1139" w:rsidP="004F1139">
      <w:pPr>
        <w:tabs>
          <w:tab w:val="left" w:pos="1701"/>
          <w:tab w:val="left" w:pos="1985"/>
        </w:tabs>
        <w:ind w:left="2124" w:hanging="2124"/>
        <w:rPr>
          <w:color w:val="FF0000"/>
        </w:rPr>
      </w:pPr>
      <w:r w:rsidRPr="002E31E6">
        <w:tab/>
      </w:r>
      <w:r w:rsidRPr="002E31E6">
        <w:tab/>
      </w:r>
      <w:r>
        <w:tab/>
        <w:t xml:space="preserve">Die </w:t>
      </w:r>
      <w:proofErr w:type="spellStart"/>
      <w:r>
        <w:t>Hydroxygruppe</w:t>
      </w:r>
      <w:proofErr w:type="spellEnd"/>
      <w:r>
        <w:t xml:space="preserve"> ist </w:t>
      </w:r>
      <w:proofErr w:type="spellStart"/>
      <w:r>
        <w:t>ortho</w:t>
      </w:r>
      <w:proofErr w:type="spellEnd"/>
      <w:r>
        <w:t xml:space="preserve">-paradirigierend, weil bei den </w:t>
      </w:r>
      <w:proofErr w:type="spellStart"/>
      <w:r>
        <w:t>mesomeren</w:t>
      </w:r>
      <w:proofErr w:type="spellEnd"/>
      <w:r>
        <w:t xml:space="preserve"> Grenzstrukturen in </w:t>
      </w:r>
      <w:proofErr w:type="spellStart"/>
      <w:r>
        <w:t>ortho</w:t>
      </w:r>
      <w:proofErr w:type="spellEnd"/>
      <w:r>
        <w:t xml:space="preserve">- </w:t>
      </w:r>
      <w:r w:rsidRPr="001B7865">
        <w:rPr>
          <w:color w:val="auto"/>
        </w:rPr>
        <w:t xml:space="preserve">und </w:t>
      </w:r>
      <w:proofErr w:type="spellStart"/>
      <w:r w:rsidRPr="001B7865">
        <w:rPr>
          <w:color w:val="auto"/>
        </w:rPr>
        <w:t>para</w:t>
      </w:r>
      <w:proofErr w:type="spellEnd"/>
      <w:r w:rsidRPr="001B7865">
        <w:rPr>
          <w:color w:val="auto"/>
        </w:rPr>
        <w:t>-Stellung eine Grenzstruktur mehr auftritt. Dieser Effekt tritt auf, da das freie Elektronenpaar des Sauerstoffs mit in die Grenzstrukturen eingebunden werden kann</w:t>
      </w:r>
      <w:r>
        <w:rPr>
          <w:color w:val="auto"/>
        </w:rPr>
        <w:t xml:space="preserve"> (+M-Effekt)</w:t>
      </w:r>
      <w:r w:rsidRPr="001B7865">
        <w:rPr>
          <w:color w:val="auto"/>
        </w:rPr>
        <w:t>.</w:t>
      </w:r>
      <w:r w:rsidRPr="00506D77">
        <w:rPr>
          <w:color w:val="FF0000"/>
        </w:rPr>
        <w:t xml:space="preserve"> </w:t>
      </w:r>
    </w:p>
    <w:p w:rsidR="004F1139" w:rsidRDefault="004F1139" w:rsidP="004F1139">
      <w:pPr>
        <w:spacing w:line="276" w:lineRule="auto"/>
        <w:ind w:left="2124" w:hanging="2124"/>
        <w:jc w:val="left"/>
        <w:rPr>
          <w:color w:val="1F497D" w:themeColor="text2"/>
        </w:rPr>
      </w:pPr>
      <w:r>
        <w:t>Literatur:</w:t>
      </w:r>
      <w:r>
        <w:tab/>
        <w:t xml:space="preserve">D. </w:t>
      </w:r>
      <w:proofErr w:type="spellStart"/>
      <w:r w:rsidRPr="00B41707">
        <w:t>Wiechoczek</w:t>
      </w:r>
      <w:proofErr w:type="spellEnd"/>
      <w:r>
        <w:t xml:space="preserve">, </w:t>
      </w:r>
      <w:r w:rsidRPr="00B41707">
        <w:t>http://www.chemieunterricht.de/dc2/phenol/v06.htm,  28. 01.2005,</w:t>
      </w:r>
      <w:r>
        <w:t xml:space="preserve"> (Zuletzt abgerufen am 20.8.2014 um 20:37 Uhr).</w:t>
      </w:r>
    </w:p>
    <w:p w:rsidR="004F1139" w:rsidRPr="00E03A9C" w:rsidRDefault="004F1139" w:rsidP="004F1139">
      <w:pPr>
        <w:spacing w:line="276" w:lineRule="auto"/>
        <w:ind w:left="2124" w:hanging="2124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B41707">
        <w:t xml:space="preserve">Entsorgung: </w:t>
      </w:r>
      <w:r w:rsidRPr="00B41707">
        <w:tab/>
        <w:t xml:space="preserve">Die Lösungen werden in dem Abfallbehälter für organische Reste gegeben. Reste vom Bromwasser werden mit </w:t>
      </w:r>
      <w:proofErr w:type="spellStart"/>
      <w:r w:rsidRPr="00B41707">
        <w:t>Natriumthiosulfatlösung</w:t>
      </w:r>
      <w:proofErr w:type="spellEnd"/>
      <w:r w:rsidRPr="00B41707">
        <w:t xml:space="preserve"> ve</w:t>
      </w:r>
      <w:r w:rsidRPr="00B41707">
        <w:t>r</w:t>
      </w:r>
      <w:r w:rsidRPr="00B41707">
        <w:t>setzt.</w:t>
      </w:r>
      <w:r>
        <w:rPr>
          <w:color w:val="1F497D" w:themeColor="text2"/>
        </w:rPr>
        <w:t xml:space="preserve"> </w:t>
      </w:r>
      <w:r>
        <w:rPr>
          <w:color w:val="1F497D" w:themeColor="text2"/>
        </w:rPr>
        <w:tab/>
      </w:r>
    </w:p>
    <w:p w:rsidR="004F1139" w:rsidRPr="00B41707" w:rsidRDefault="004F1139" w:rsidP="004F1139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 w:rsidRPr="001C2BFE">
        <w:pict>
          <v:shape id="_x0000_s1026" type="#_x0000_t202" style="width:462.45pt;height:104.6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6">
              <w:txbxContent>
                <w:p w:rsidR="004F1139" w:rsidRPr="000D10FB" w:rsidRDefault="004F1139" w:rsidP="004F1139">
                  <w:pPr>
                    <w:rPr>
                      <w:color w:val="1F497D" w:themeColor="text2"/>
                    </w:rPr>
                  </w:pPr>
                  <w:r>
                    <w:rPr>
                      <w:color w:val="1F497D" w:themeColor="text2"/>
                    </w:rPr>
                    <w:t xml:space="preserve">Alternativ muss V2 durchgeführt werden. Es sollte unter dem Abzug gearbeitet werden. Beim Arbeiten mit Halogenen sollte immer ein Behälter mit </w:t>
                  </w:r>
                  <w:proofErr w:type="spellStart"/>
                  <w:r>
                    <w:rPr>
                      <w:color w:val="1F497D" w:themeColor="text2"/>
                    </w:rPr>
                    <w:t>Thiosulfatlösung</w:t>
                  </w:r>
                  <w:proofErr w:type="spellEnd"/>
                  <w:r>
                    <w:rPr>
                      <w:color w:val="1F497D" w:themeColor="text2"/>
                    </w:rPr>
                    <w:t xml:space="preserve"> bereitstehen. Auf Grund der Giftigkeit von Phenol sollte der Versuch als Lehrerversuch durchgeführt werden. Der Versuch kann als Vertiefung in Aromaten oder in die </w:t>
                  </w:r>
                  <w:proofErr w:type="spellStart"/>
                  <w:r>
                    <w:rPr>
                      <w:color w:val="1F497D" w:themeColor="text2"/>
                    </w:rPr>
                    <w:t>elektrophile</w:t>
                  </w:r>
                  <w:proofErr w:type="spellEnd"/>
                  <w:r>
                    <w:rPr>
                      <w:color w:val="1F497D" w:themeColor="text2"/>
                    </w:rPr>
                    <w:t xml:space="preserve"> Substitution genutzt werden.</w:t>
                  </w:r>
                </w:p>
              </w:txbxContent>
            </v:textbox>
            <w10:wrap type="none"/>
            <w10:anchorlock/>
          </v:shape>
        </w:pict>
      </w:r>
    </w:p>
    <w:p w:rsidR="00B93CB0" w:rsidRDefault="00B93CB0"/>
    <w:sectPr w:rsidR="00B93CB0" w:rsidSect="00B93C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F1139"/>
    <w:rsid w:val="0000249D"/>
    <w:rsid w:val="000109E3"/>
    <w:rsid w:val="00011AC0"/>
    <w:rsid w:val="0001418F"/>
    <w:rsid w:val="00016490"/>
    <w:rsid w:val="000202FB"/>
    <w:rsid w:val="00044AD5"/>
    <w:rsid w:val="00047287"/>
    <w:rsid w:val="00051DB1"/>
    <w:rsid w:val="00063E9E"/>
    <w:rsid w:val="000712EA"/>
    <w:rsid w:val="00071664"/>
    <w:rsid w:val="00071F21"/>
    <w:rsid w:val="00097DCC"/>
    <w:rsid w:val="000B5A53"/>
    <w:rsid w:val="000B7B81"/>
    <w:rsid w:val="000C69D2"/>
    <w:rsid w:val="000E56BA"/>
    <w:rsid w:val="000F0499"/>
    <w:rsid w:val="000F5F36"/>
    <w:rsid w:val="00104F91"/>
    <w:rsid w:val="00105CD3"/>
    <w:rsid w:val="001135ED"/>
    <w:rsid w:val="00114B5F"/>
    <w:rsid w:val="0011700F"/>
    <w:rsid w:val="00117DF5"/>
    <w:rsid w:val="00120609"/>
    <w:rsid w:val="00124004"/>
    <w:rsid w:val="00125FA3"/>
    <w:rsid w:val="00133E86"/>
    <w:rsid w:val="0013665F"/>
    <w:rsid w:val="00141789"/>
    <w:rsid w:val="00153566"/>
    <w:rsid w:val="00160B0B"/>
    <w:rsid w:val="00162FC5"/>
    <w:rsid w:val="00163AB4"/>
    <w:rsid w:val="00163BCB"/>
    <w:rsid w:val="00176222"/>
    <w:rsid w:val="00180232"/>
    <w:rsid w:val="00181C91"/>
    <w:rsid w:val="00191E34"/>
    <w:rsid w:val="001934D1"/>
    <w:rsid w:val="00194426"/>
    <w:rsid w:val="001A5655"/>
    <w:rsid w:val="001C2C46"/>
    <w:rsid w:val="001C306B"/>
    <w:rsid w:val="001C5C03"/>
    <w:rsid w:val="001D7831"/>
    <w:rsid w:val="001E691A"/>
    <w:rsid w:val="001F22CF"/>
    <w:rsid w:val="00202A5F"/>
    <w:rsid w:val="002058D0"/>
    <w:rsid w:val="0020742B"/>
    <w:rsid w:val="00217EFE"/>
    <w:rsid w:val="00222B6A"/>
    <w:rsid w:val="00242A32"/>
    <w:rsid w:val="00257F3F"/>
    <w:rsid w:val="002606BA"/>
    <w:rsid w:val="002608F0"/>
    <w:rsid w:val="002726D5"/>
    <w:rsid w:val="00294AEC"/>
    <w:rsid w:val="002A2225"/>
    <w:rsid w:val="002A4424"/>
    <w:rsid w:val="002B2937"/>
    <w:rsid w:val="002D4907"/>
    <w:rsid w:val="002E1486"/>
    <w:rsid w:val="002E2AA5"/>
    <w:rsid w:val="002E2B43"/>
    <w:rsid w:val="002E47B4"/>
    <w:rsid w:val="00300C3D"/>
    <w:rsid w:val="00300EE4"/>
    <w:rsid w:val="0030304D"/>
    <w:rsid w:val="00303685"/>
    <w:rsid w:val="0030793D"/>
    <w:rsid w:val="003109AD"/>
    <w:rsid w:val="00325AC9"/>
    <w:rsid w:val="003359AC"/>
    <w:rsid w:val="00347497"/>
    <w:rsid w:val="003477BB"/>
    <w:rsid w:val="003529F1"/>
    <w:rsid w:val="003547D3"/>
    <w:rsid w:val="00365E87"/>
    <w:rsid w:val="00367980"/>
    <w:rsid w:val="00371189"/>
    <w:rsid w:val="00375369"/>
    <w:rsid w:val="00392377"/>
    <w:rsid w:val="003A389B"/>
    <w:rsid w:val="003C06F1"/>
    <w:rsid w:val="003D6196"/>
    <w:rsid w:val="003E68DE"/>
    <w:rsid w:val="003F037D"/>
    <w:rsid w:val="003F09D6"/>
    <w:rsid w:val="003F286E"/>
    <w:rsid w:val="003F63D0"/>
    <w:rsid w:val="003F6C8C"/>
    <w:rsid w:val="00401647"/>
    <w:rsid w:val="00404632"/>
    <w:rsid w:val="004077FC"/>
    <w:rsid w:val="0041546D"/>
    <w:rsid w:val="00416CCC"/>
    <w:rsid w:val="00421A97"/>
    <w:rsid w:val="004231EB"/>
    <w:rsid w:val="004307D5"/>
    <w:rsid w:val="00435FFF"/>
    <w:rsid w:val="00443A7A"/>
    <w:rsid w:val="00474566"/>
    <w:rsid w:val="00480B4F"/>
    <w:rsid w:val="004812F8"/>
    <w:rsid w:val="004871BC"/>
    <w:rsid w:val="00491914"/>
    <w:rsid w:val="00491CA9"/>
    <w:rsid w:val="00494EDF"/>
    <w:rsid w:val="004A639D"/>
    <w:rsid w:val="004A6FB9"/>
    <w:rsid w:val="004B11F5"/>
    <w:rsid w:val="004B634C"/>
    <w:rsid w:val="004C0169"/>
    <w:rsid w:val="004C420A"/>
    <w:rsid w:val="004D1DFD"/>
    <w:rsid w:val="004D3AD7"/>
    <w:rsid w:val="004F1139"/>
    <w:rsid w:val="004F307E"/>
    <w:rsid w:val="004F33B7"/>
    <w:rsid w:val="004F5232"/>
    <w:rsid w:val="00505972"/>
    <w:rsid w:val="005127E5"/>
    <w:rsid w:val="00514176"/>
    <w:rsid w:val="005200CA"/>
    <w:rsid w:val="00522BE5"/>
    <w:rsid w:val="0052786C"/>
    <w:rsid w:val="005328C7"/>
    <w:rsid w:val="00541FCB"/>
    <w:rsid w:val="00543F09"/>
    <w:rsid w:val="005477A9"/>
    <w:rsid w:val="00552684"/>
    <w:rsid w:val="005562AF"/>
    <w:rsid w:val="0056023C"/>
    <w:rsid w:val="0056041D"/>
    <w:rsid w:val="00566BB0"/>
    <w:rsid w:val="00573B3A"/>
    <w:rsid w:val="0057645C"/>
    <w:rsid w:val="0058161A"/>
    <w:rsid w:val="005A11B6"/>
    <w:rsid w:val="005A39E9"/>
    <w:rsid w:val="005A4B00"/>
    <w:rsid w:val="005A4DC9"/>
    <w:rsid w:val="005A6CD8"/>
    <w:rsid w:val="005A757C"/>
    <w:rsid w:val="005C0B65"/>
    <w:rsid w:val="005C62A9"/>
    <w:rsid w:val="005C7874"/>
    <w:rsid w:val="005D3948"/>
    <w:rsid w:val="005E4298"/>
    <w:rsid w:val="005E6384"/>
    <w:rsid w:val="005F405F"/>
    <w:rsid w:val="0060248F"/>
    <w:rsid w:val="00602FF1"/>
    <w:rsid w:val="00604E91"/>
    <w:rsid w:val="00606281"/>
    <w:rsid w:val="00617A27"/>
    <w:rsid w:val="006252B7"/>
    <w:rsid w:val="006333A1"/>
    <w:rsid w:val="006419C3"/>
    <w:rsid w:val="00655AFC"/>
    <w:rsid w:val="0065724C"/>
    <w:rsid w:val="006666D3"/>
    <w:rsid w:val="00670E6F"/>
    <w:rsid w:val="00673E1C"/>
    <w:rsid w:val="00681EF7"/>
    <w:rsid w:val="00693D98"/>
    <w:rsid w:val="0069652D"/>
    <w:rsid w:val="006B2545"/>
    <w:rsid w:val="006C05EC"/>
    <w:rsid w:val="006D0F1B"/>
    <w:rsid w:val="006D4B22"/>
    <w:rsid w:val="006F1F6D"/>
    <w:rsid w:val="006F20E3"/>
    <w:rsid w:val="006F553A"/>
    <w:rsid w:val="00704F07"/>
    <w:rsid w:val="00721F86"/>
    <w:rsid w:val="007322EF"/>
    <w:rsid w:val="0074467C"/>
    <w:rsid w:val="00745CC1"/>
    <w:rsid w:val="00756BA1"/>
    <w:rsid w:val="00770B3D"/>
    <w:rsid w:val="00792920"/>
    <w:rsid w:val="007A2A42"/>
    <w:rsid w:val="007B3B68"/>
    <w:rsid w:val="007B570C"/>
    <w:rsid w:val="007B6E96"/>
    <w:rsid w:val="007C0024"/>
    <w:rsid w:val="007C13F5"/>
    <w:rsid w:val="007C4CF8"/>
    <w:rsid w:val="007C5F72"/>
    <w:rsid w:val="007D5561"/>
    <w:rsid w:val="007D7553"/>
    <w:rsid w:val="007E0E3B"/>
    <w:rsid w:val="007E685C"/>
    <w:rsid w:val="008015A4"/>
    <w:rsid w:val="0080204D"/>
    <w:rsid w:val="008021A0"/>
    <w:rsid w:val="00820583"/>
    <w:rsid w:val="0082324C"/>
    <w:rsid w:val="00825682"/>
    <w:rsid w:val="00846D92"/>
    <w:rsid w:val="008505B9"/>
    <w:rsid w:val="00855AFD"/>
    <w:rsid w:val="008575D8"/>
    <w:rsid w:val="00874B03"/>
    <w:rsid w:val="0087635A"/>
    <w:rsid w:val="008937B4"/>
    <w:rsid w:val="00894891"/>
    <w:rsid w:val="008956F5"/>
    <w:rsid w:val="008977ED"/>
    <w:rsid w:val="008B3059"/>
    <w:rsid w:val="008C1355"/>
    <w:rsid w:val="008C23FE"/>
    <w:rsid w:val="008D176C"/>
    <w:rsid w:val="008D6B6B"/>
    <w:rsid w:val="008E6454"/>
    <w:rsid w:val="009005D5"/>
    <w:rsid w:val="009021DB"/>
    <w:rsid w:val="0090331C"/>
    <w:rsid w:val="0090371D"/>
    <w:rsid w:val="00906220"/>
    <w:rsid w:val="0091654B"/>
    <w:rsid w:val="009425A1"/>
    <w:rsid w:val="00943E92"/>
    <w:rsid w:val="00944CFB"/>
    <w:rsid w:val="00946990"/>
    <w:rsid w:val="0095149D"/>
    <w:rsid w:val="0095339A"/>
    <w:rsid w:val="00953AF6"/>
    <w:rsid w:val="00954F58"/>
    <w:rsid w:val="00965251"/>
    <w:rsid w:val="00966A56"/>
    <w:rsid w:val="00971360"/>
    <w:rsid w:val="00972377"/>
    <w:rsid w:val="0097352D"/>
    <w:rsid w:val="0097394A"/>
    <w:rsid w:val="00975E0F"/>
    <w:rsid w:val="0098029A"/>
    <w:rsid w:val="00980569"/>
    <w:rsid w:val="00980A79"/>
    <w:rsid w:val="00980D94"/>
    <w:rsid w:val="00984BD9"/>
    <w:rsid w:val="009914DD"/>
    <w:rsid w:val="00995C6E"/>
    <w:rsid w:val="009B575D"/>
    <w:rsid w:val="009B5CAB"/>
    <w:rsid w:val="009C45B3"/>
    <w:rsid w:val="009C63F9"/>
    <w:rsid w:val="009D1D4C"/>
    <w:rsid w:val="009E2992"/>
    <w:rsid w:val="009E30C6"/>
    <w:rsid w:val="009E3BD8"/>
    <w:rsid w:val="009E6B32"/>
    <w:rsid w:val="009F3FDC"/>
    <w:rsid w:val="009F51CA"/>
    <w:rsid w:val="00A0110A"/>
    <w:rsid w:val="00A12FAE"/>
    <w:rsid w:val="00A21DBB"/>
    <w:rsid w:val="00A234B1"/>
    <w:rsid w:val="00A55E01"/>
    <w:rsid w:val="00A60861"/>
    <w:rsid w:val="00A63D8C"/>
    <w:rsid w:val="00A72FD7"/>
    <w:rsid w:val="00A75665"/>
    <w:rsid w:val="00A862C4"/>
    <w:rsid w:val="00A92618"/>
    <w:rsid w:val="00A95AA4"/>
    <w:rsid w:val="00AA3AF8"/>
    <w:rsid w:val="00AA4024"/>
    <w:rsid w:val="00AA66E0"/>
    <w:rsid w:val="00AA6D1D"/>
    <w:rsid w:val="00AB5092"/>
    <w:rsid w:val="00AC19E8"/>
    <w:rsid w:val="00AC397C"/>
    <w:rsid w:val="00AE54FF"/>
    <w:rsid w:val="00AF2BD7"/>
    <w:rsid w:val="00AF58D1"/>
    <w:rsid w:val="00B0136C"/>
    <w:rsid w:val="00B04E26"/>
    <w:rsid w:val="00B05452"/>
    <w:rsid w:val="00B05CDB"/>
    <w:rsid w:val="00B1226C"/>
    <w:rsid w:val="00B1311B"/>
    <w:rsid w:val="00B1505F"/>
    <w:rsid w:val="00B15D57"/>
    <w:rsid w:val="00B25E3D"/>
    <w:rsid w:val="00B351FF"/>
    <w:rsid w:val="00B43888"/>
    <w:rsid w:val="00B47816"/>
    <w:rsid w:val="00B566AD"/>
    <w:rsid w:val="00B6050E"/>
    <w:rsid w:val="00B61774"/>
    <w:rsid w:val="00B62CD1"/>
    <w:rsid w:val="00B653AF"/>
    <w:rsid w:val="00B654C5"/>
    <w:rsid w:val="00B7579B"/>
    <w:rsid w:val="00B81161"/>
    <w:rsid w:val="00B93CB0"/>
    <w:rsid w:val="00B94727"/>
    <w:rsid w:val="00B97174"/>
    <w:rsid w:val="00BA2901"/>
    <w:rsid w:val="00BB3FD7"/>
    <w:rsid w:val="00BC18F5"/>
    <w:rsid w:val="00BD3022"/>
    <w:rsid w:val="00BD5E3A"/>
    <w:rsid w:val="00BD6AB2"/>
    <w:rsid w:val="00BD6B61"/>
    <w:rsid w:val="00BE2009"/>
    <w:rsid w:val="00BE31F4"/>
    <w:rsid w:val="00BE41E6"/>
    <w:rsid w:val="00BE5BA2"/>
    <w:rsid w:val="00BF08F1"/>
    <w:rsid w:val="00C00187"/>
    <w:rsid w:val="00C118B9"/>
    <w:rsid w:val="00C12450"/>
    <w:rsid w:val="00C13B17"/>
    <w:rsid w:val="00C14ED4"/>
    <w:rsid w:val="00C235C2"/>
    <w:rsid w:val="00C30743"/>
    <w:rsid w:val="00C357F7"/>
    <w:rsid w:val="00C40799"/>
    <w:rsid w:val="00C41822"/>
    <w:rsid w:val="00C45BD3"/>
    <w:rsid w:val="00C47453"/>
    <w:rsid w:val="00C52814"/>
    <w:rsid w:val="00C55B54"/>
    <w:rsid w:val="00C64ED0"/>
    <w:rsid w:val="00C6502D"/>
    <w:rsid w:val="00C6533A"/>
    <w:rsid w:val="00C93A84"/>
    <w:rsid w:val="00C9733C"/>
    <w:rsid w:val="00CA6B2B"/>
    <w:rsid w:val="00CB2F26"/>
    <w:rsid w:val="00CC30D9"/>
    <w:rsid w:val="00CC3820"/>
    <w:rsid w:val="00CC6AD5"/>
    <w:rsid w:val="00CD15FF"/>
    <w:rsid w:val="00CD5E2B"/>
    <w:rsid w:val="00CE632A"/>
    <w:rsid w:val="00CF6B08"/>
    <w:rsid w:val="00CF75F7"/>
    <w:rsid w:val="00D00B05"/>
    <w:rsid w:val="00D10603"/>
    <w:rsid w:val="00D12B8C"/>
    <w:rsid w:val="00D13B63"/>
    <w:rsid w:val="00D15269"/>
    <w:rsid w:val="00D220DB"/>
    <w:rsid w:val="00D42583"/>
    <w:rsid w:val="00D476A5"/>
    <w:rsid w:val="00D53C0A"/>
    <w:rsid w:val="00D56536"/>
    <w:rsid w:val="00D5784D"/>
    <w:rsid w:val="00D67F81"/>
    <w:rsid w:val="00D74FC3"/>
    <w:rsid w:val="00D75471"/>
    <w:rsid w:val="00D81986"/>
    <w:rsid w:val="00D82354"/>
    <w:rsid w:val="00D82A97"/>
    <w:rsid w:val="00D867E1"/>
    <w:rsid w:val="00D9278F"/>
    <w:rsid w:val="00DA22D3"/>
    <w:rsid w:val="00DA4EC1"/>
    <w:rsid w:val="00DB4079"/>
    <w:rsid w:val="00DC7A1A"/>
    <w:rsid w:val="00DD1B5C"/>
    <w:rsid w:val="00DD575F"/>
    <w:rsid w:val="00DE1180"/>
    <w:rsid w:val="00DE2060"/>
    <w:rsid w:val="00DE3E4F"/>
    <w:rsid w:val="00DF2622"/>
    <w:rsid w:val="00DF61BF"/>
    <w:rsid w:val="00E00713"/>
    <w:rsid w:val="00E02C43"/>
    <w:rsid w:val="00E047FD"/>
    <w:rsid w:val="00E068D5"/>
    <w:rsid w:val="00E06DD6"/>
    <w:rsid w:val="00E07A6D"/>
    <w:rsid w:val="00E20680"/>
    <w:rsid w:val="00E36F4F"/>
    <w:rsid w:val="00E37971"/>
    <w:rsid w:val="00E527B8"/>
    <w:rsid w:val="00E73ED2"/>
    <w:rsid w:val="00E745BF"/>
    <w:rsid w:val="00E76980"/>
    <w:rsid w:val="00E81025"/>
    <w:rsid w:val="00E82ECF"/>
    <w:rsid w:val="00E83876"/>
    <w:rsid w:val="00E85ECB"/>
    <w:rsid w:val="00E921EC"/>
    <w:rsid w:val="00E924BC"/>
    <w:rsid w:val="00E979BD"/>
    <w:rsid w:val="00EA09BC"/>
    <w:rsid w:val="00EB4530"/>
    <w:rsid w:val="00EB6B83"/>
    <w:rsid w:val="00EC37CA"/>
    <w:rsid w:val="00EC4362"/>
    <w:rsid w:val="00EC6465"/>
    <w:rsid w:val="00ED0F88"/>
    <w:rsid w:val="00ED2EB3"/>
    <w:rsid w:val="00ED75C5"/>
    <w:rsid w:val="00EE4DEA"/>
    <w:rsid w:val="00EE6F4E"/>
    <w:rsid w:val="00F03626"/>
    <w:rsid w:val="00F075D5"/>
    <w:rsid w:val="00F221EA"/>
    <w:rsid w:val="00F23805"/>
    <w:rsid w:val="00F2569E"/>
    <w:rsid w:val="00F31D06"/>
    <w:rsid w:val="00F3379A"/>
    <w:rsid w:val="00F3550B"/>
    <w:rsid w:val="00F45080"/>
    <w:rsid w:val="00F50715"/>
    <w:rsid w:val="00F6181E"/>
    <w:rsid w:val="00F61C75"/>
    <w:rsid w:val="00F728D1"/>
    <w:rsid w:val="00F86555"/>
    <w:rsid w:val="00F8793A"/>
    <w:rsid w:val="00F91B80"/>
    <w:rsid w:val="00F95C1D"/>
    <w:rsid w:val="00FC2143"/>
    <w:rsid w:val="00FC4BC5"/>
    <w:rsid w:val="00FC54FD"/>
    <w:rsid w:val="00FC61B4"/>
    <w:rsid w:val="00FD7480"/>
    <w:rsid w:val="00FE16DB"/>
    <w:rsid w:val="00FE4D94"/>
    <w:rsid w:val="00FF00C6"/>
    <w:rsid w:val="00FF227A"/>
    <w:rsid w:val="00FF2421"/>
    <w:rsid w:val="00FF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1139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F1139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F1139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F1139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F113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F113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F113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F113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F113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F113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F1139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F1139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139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F11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F11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F11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F11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F11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F11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4F1139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1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1139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tif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tif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noraa</dc:creator>
  <cp:lastModifiedBy>noraa</cp:lastModifiedBy>
  <cp:revision>1</cp:revision>
  <dcterms:created xsi:type="dcterms:W3CDTF">2014-08-27T08:27:00Z</dcterms:created>
  <dcterms:modified xsi:type="dcterms:W3CDTF">2014-08-27T08:30:00Z</dcterms:modified>
</cp:coreProperties>
</file>