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73" w:rsidRDefault="00CD6373" w:rsidP="00CD6373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9.1pt;width:462.45pt;height:82.7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CD6373" w:rsidRDefault="00CD6373" w:rsidP="00CD6373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In diesem Versuch sollen drei verschiedene Kunststoffe hergestellt werden. Das Prinzip der Kondensation und der Veresterung sollte den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bekannt sein. Die Polykondensation sollte nicht mit jeder Lerngruppe durchgeführt werden, da mit Formaldehyd vorsichtig umgegangen werden sollte. </w:t>
                  </w:r>
                </w:p>
                <w:p w:rsidR="00CD6373" w:rsidRPr="000D10FB" w:rsidRDefault="00CD6373" w:rsidP="00CD6373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Herstellung von 2 Aromaten, Veresterung, Kondensation</w:t>
                  </w:r>
                </w:p>
              </w:txbxContent>
            </v:textbox>
            <w10:wrap type="square"/>
          </v:shape>
        </w:pict>
      </w:r>
      <w:bookmarkStart w:id="0" w:name="_Toc396470241"/>
      <w:r>
        <w:t>V 5 – Kunststoffe mit Aromaten</w:t>
      </w:r>
      <w:bookmarkEnd w:id="0"/>
    </w:p>
    <w:p w:rsidR="00CD6373" w:rsidRDefault="00CD6373" w:rsidP="00CD6373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D6373" w:rsidRPr="009C5E28" w:rsidTr="008A2234">
        <w:tc>
          <w:tcPr>
            <w:tcW w:w="9322" w:type="dxa"/>
            <w:gridSpan w:val="9"/>
            <w:shd w:val="clear" w:color="auto" w:fill="4F81BD"/>
            <w:vAlign w:val="center"/>
          </w:tcPr>
          <w:p w:rsidR="00CD6373" w:rsidRPr="009C5E28" w:rsidRDefault="00CD6373" w:rsidP="008A223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D6373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Default="00CD6373" w:rsidP="008A2234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Resorcin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0B4628" w:rsidRDefault="00CD6373" w:rsidP="008A2234">
            <w:pPr>
              <w:spacing w:after="0"/>
              <w:jc w:val="center"/>
              <w:rPr>
                <w:sz w:val="20"/>
              </w:rPr>
            </w:pPr>
            <w:r w:rsidRPr="000B4628">
              <w:rPr>
                <w:sz w:val="20"/>
              </w:rPr>
              <w:t>H</w:t>
            </w:r>
            <w:r>
              <w:rPr>
                <w:sz w:val="20"/>
              </w:rPr>
              <w:t>: 302+319+315+</w:t>
            </w:r>
            <w:r w:rsidRPr="000B4628">
              <w:rPr>
                <w:sz w:val="20"/>
              </w:rPr>
              <w:t xml:space="preserve">400       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6373" w:rsidRDefault="00CD6373" w:rsidP="008A2234">
            <w:pPr>
              <w:spacing w:after="0"/>
              <w:jc w:val="center"/>
              <w:rPr>
                <w:sz w:val="20"/>
              </w:rPr>
            </w:pPr>
            <w:r w:rsidRPr="000B4628">
              <w:rPr>
                <w:sz w:val="20"/>
              </w:rPr>
              <w:t>P</w:t>
            </w:r>
            <w:r>
              <w:rPr>
                <w:sz w:val="20"/>
              </w:rPr>
              <w:t>: 273+302+352+305+351+</w:t>
            </w:r>
            <w:r w:rsidRPr="000B4628">
              <w:rPr>
                <w:sz w:val="20"/>
              </w:rPr>
              <w:t xml:space="preserve">338  </w:t>
            </w:r>
          </w:p>
        </w:tc>
      </w:tr>
      <w:tr w:rsidR="00CD6373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Formaldehyd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sz w:val="20"/>
              </w:rPr>
              <w:t>H: 302+351+</w:t>
            </w:r>
            <w:r w:rsidRPr="00E03A9C">
              <w:rPr>
                <w:sz w:val="20"/>
              </w:rPr>
              <w:t xml:space="preserve">317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sz w:val="20"/>
              </w:rPr>
              <w:t>P: 280+302+352+308+</w:t>
            </w:r>
            <w:r w:rsidRPr="00E03A9C">
              <w:rPr>
                <w:sz w:val="20"/>
              </w:rPr>
              <w:t xml:space="preserve">313  </w:t>
            </w:r>
          </w:p>
        </w:tc>
      </w:tr>
      <w:tr w:rsidR="00CD6373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Default="00CD6373" w:rsidP="008A2234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Salzsäure (</w:t>
            </w:r>
            <w:proofErr w:type="spellStart"/>
            <w:r>
              <w:rPr>
                <w:sz w:val="20"/>
              </w:rPr>
              <w:t>konz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314+335+</w:t>
            </w:r>
            <w:r w:rsidRPr="00A87DBF">
              <w:rPr>
                <w:sz w:val="20"/>
              </w:rPr>
              <w:t>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  <w:rPr>
                <w:sz w:val="20"/>
              </w:rPr>
            </w:pPr>
            <w:r w:rsidRPr="00A87DBF">
              <w:rPr>
                <w:sz w:val="20"/>
              </w:rPr>
              <w:t>P</w:t>
            </w:r>
            <w:r>
              <w:rPr>
                <w:sz w:val="20"/>
              </w:rPr>
              <w:t>:280+301+330+331+305+351+</w:t>
            </w:r>
            <w:r w:rsidRPr="00A87DBF">
              <w:rPr>
                <w:sz w:val="20"/>
              </w:rPr>
              <w:t xml:space="preserve">338        </w:t>
            </w:r>
          </w:p>
        </w:tc>
      </w:tr>
      <w:tr w:rsidR="00CD6373" w:rsidRPr="009C5E28" w:rsidTr="008A2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Natronlauge (20 %</w:t>
            </w:r>
            <w:proofErr w:type="spellStart"/>
            <w:r>
              <w:rPr>
                <w:color w:val="auto"/>
                <w:sz w:val="20"/>
                <w:szCs w:val="20"/>
              </w:rPr>
              <w:t>ig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D6373" w:rsidRPr="009C5E28" w:rsidRDefault="00CD6373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A87DBF">
              <w:rPr>
                <w:sz w:val="20"/>
              </w:rPr>
              <w:t>H</w:t>
            </w:r>
            <w:r>
              <w:rPr>
                <w:sz w:val="20"/>
              </w:rPr>
              <w:t>: 314+</w:t>
            </w:r>
            <w:r w:rsidRPr="00A87DBF">
              <w:rPr>
                <w:sz w:val="20"/>
              </w:rPr>
              <w:t xml:space="preserve">290            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D6373" w:rsidRPr="009C5E28" w:rsidRDefault="00CD6373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A87DBF">
              <w:rPr>
                <w:sz w:val="20"/>
              </w:rPr>
              <w:t>P</w:t>
            </w:r>
            <w:r>
              <w:rPr>
                <w:sz w:val="20"/>
              </w:rPr>
              <w:t>:280+301+330+331+305+351+</w:t>
            </w:r>
            <w:r w:rsidRPr="00A87DBF">
              <w:rPr>
                <w:sz w:val="20"/>
              </w:rPr>
              <w:t xml:space="preserve">338   </w:t>
            </w:r>
          </w:p>
        </w:tc>
      </w:tr>
      <w:tr w:rsidR="00CD6373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Default="00CD6373" w:rsidP="008A2234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Phthalsäureahydrid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0B4628" w:rsidRDefault="00CD6373" w:rsidP="008A2234">
            <w:pPr>
              <w:spacing w:after="0"/>
              <w:jc w:val="center"/>
              <w:rPr>
                <w:sz w:val="20"/>
              </w:rPr>
            </w:pPr>
            <w:r w:rsidRPr="00A87DBF">
              <w:rPr>
                <w:sz w:val="20"/>
              </w:rPr>
              <w:t>H</w:t>
            </w:r>
            <w:r>
              <w:rPr>
                <w:sz w:val="20"/>
              </w:rPr>
              <w:t>: 302+335+315+318+334+</w:t>
            </w:r>
            <w:r w:rsidRPr="00A87DBF">
              <w:rPr>
                <w:sz w:val="20"/>
              </w:rPr>
              <w:t xml:space="preserve">317 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6373" w:rsidRDefault="00CD6373" w:rsidP="008A2234">
            <w:pPr>
              <w:spacing w:after="0"/>
              <w:jc w:val="center"/>
              <w:rPr>
                <w:sz w:val="20"/>
              </w:rPr>
            </w:pPr>
            <w:r w:rsidRPr="00A87DBF">
              <w:rPr>
                <w:sz w:val="20"/>
              </w:rPr>
              <w:t>P</w:t>
            </w:r>
            <w:r>
              <w:rPr>
                <w:sz w:val="20"/>
              </w:rPr>
              <w:t>:260+262+302+352+304+340+</w:t>
            </w:r>
            <w:r w:rsidRPr="00A87DBF">
              <w:rPr>
                <w:sz w:val="20"/>
              </w:rPr>
              <w:t>305</w:t>
            </w:r>
            <w:r>
              <w:rPr>
                <w:sz w:val="20"/>
              </w:rPr>
              <w:t>+351+338+313+</w:t>
            </w:r>
            <w:r w:rsidRPr="00A87DBF">
              <w:rPr>
                <w:sz w:val="20"/>
              </w:rPr>
              <w:t xml:space="preserve">280      </w:t>
            </w:r>
          </w:p>
        </w:tc>
      </w:tr>
      <w:tr w:rsidR="00CD6373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Default="00CD6373" w:rsidP="008A2234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Glycerin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0B4628" w:rsidRDefault="00CD6373" w:rsidP="008A223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0B4628">
              <w:rPr>
                <w:sz w:val="20"/>
              </w:rPr>
              <w:t xml:space="preserve">       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6373" w:rsidRDefault="00CD6373" w:rsidP="008A223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0B4628">
              <w:rPr>
                <w:sz w:val="20"/>
              </w:rPr>
              <w:t xml:space="preserve">  </w:t>
            </w:r>
          </w:p>
        </w:tc>
      </w:tr>
      <w:tr w:rsidR="00CD6373" w:rsidRPr="009C5E28" w:rsidTr="008A223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4414" cy="524414"/>
                  <wp:effectExtent l="0" t="0" r="8986" b="0"/>
                  <wp:docPr id="8" name="Bild 7" descr="C:\Users\noraa\Documents\SVP Chemie\Piktogramm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oraa\Documents\SVP Chemie\Piktogramm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12" cy="52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4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6373" w:rsidRPr="009C5E28" w:rsidRDefault="00CD637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7858" cy="537858"/>
                  <wp:effectExtent l="0" t="0" r="0" b="0"/>
                  <wp:docPr id="9" name="Bild 8" descr="C:\Users\noraa\Documents\SVP Chemie\Piktogramm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oraa\Documents\SVP Chemie\Piktogramm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36" cy="541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Gasbrenner, Wasserbad, 3 Reagenzgläser </w:t>
      </w:r>
    </w:p>
    <w:p w:rsidR="00CD6373" w:rsidRPr="00ED07C2" w:rsidRDefault="00CD6373" w:rsidP="00CD637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Formaldehyd, Salzsäure (</w:t>
      </w:r>
      <w:proofErr w:type="spellStart"/>
      <w:r>
        <w:t>konz</w:t>
      </w:r>
      <w:proofErr w:type="spellEnd"/>
      <w:r>
        <w:t>.), Natronlauge (20 %</w:t>
      </w:r>
      <w:proofErr w:type="spellStart"/>
      <w:r>
        <w:t>ig</w:t>
      </w:r>
      <w:proofErr w:type="spellEnd"/>
      <w:r>
        <w:t xml:space="preserve">), </w:t>
      </w:r>
      <w:proofErr w:type="spellStart"/>
      <w:r>
        <w:t>Phthalsäureahydrid</w:t>
      </w:r>
      <w:proofErr w:type="spellEnd"/>
      <w:r>
        <w:t>, Glycerin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Versuch 1: </w:t>
      </w:r>
      <w:proofErr w:type="spellStart"/>
      <w:r>
        <w:t>Polyveresterung</w:t>
      </w:r>
      <w:proofErr w:type="spellEnd"/>
      <w:r>
        <w:t xml:space="preserve"> 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2 g </w:t>
      </w:r>
      <w:proofErr w:type="spellStart"/>
      <w:r>
        <w:t>Phthalsäureanhydrid</w:t>
      </w:r>
      <w:proofErr w:type="spellEnd"/>
      <w:r>
        <w:t xml:space="preserve"> werden mit 15 Tropfen Glycerin versetzt. Die L</w:t>
      </w:r>
      <w:r>
        <w:t>ö</w:t>
      </w:r>
      <w:r>
        <w:t>sung wird mit einer kleinen Flamme auf dem Dreifuß mit dem Gasbrenner leicht erwärmt. Die Blasenentwicklung sollte nicht zu heftig sein! Nach 15-20 Minuten ist die Reaktion beendet.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Versuch 2: Polykondensation zu </w:t>
      </w:r>
      <w:proofErr w:type="spellStart"/>
      <w:r>
        <w:t>Resorcinharz</w:t>
      </w:r>
      <w:proofErr w:type="spellEnd"/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Achtung, nicht zu große Mengen an Chemikalien verwenden, die Reakti</w:t>
      </w:r>
      <w:r>
        <w:t>o</w:t>
      </w:r>
      <w:r>
        <w:t xml:space="preserve">nen sind zum Teil heftig! 4 cm </w:t>
      </w:r>
      <w:proofErr w:type="spellStart"/>
      <w:r>
        <w:t>Resorcin</w:t>
      </w:r>
      <w:proofErr w:type="spellEnd"/>
      <w:r>
        <w:t xml:space="preserve"> in ein Reagenzglas füllen, in For</w:t>
      </w:r>
      <w:r>
        <w:t>m</w:t>
      </w:r>
      <w:r>
        <w:t xml:space="preserve">aldehydlösung lösen und ggf. in einem Wasserbad vorsichtig </w:t>
      </w:r>
      <w:r>
        <w:lastRenderedPageBreak/>
        <w:t>erwärmen. Nun wird die Lösung auf zwei Reagenzgläser aufgeteilt. In das eine Re</w:t>
      </w:r>
      <w:r>
        <w:t>a</w:t>
      </w:r>
      <w:r>
        <w:t xml:space="preserve">genzglas wird ein Tropfen konzentrierte Salzsäure gegeben, in das andere einen Tropfen Natronlauge als Katalysator.  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Versuch 1: </w:t>
      </w:r>
      <w:proofErr w:type="spellStart"/>
      <w:r>
        <w:t>Polyveresterung</w:t>
      </w:r>
      <w:proofErr w:type="spellEnd"/>
      <w:r>
        <w:t xml:space="preserve"> 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  <w:t>Es bildet sich eine Lösung, die zunächst klar ist und es gibt eine Blasenen</w:t>
      </w:r>
      <w:r>
        <w:t>t</w:t>
      </w:r>
      <w:r>
        <w:t xml:space="preserve">wicklung. Dann verfärbt sich die Schmelze gelblich und klar und wird fest. Außerdem sind weiße lineare Makromoleküle entstanden. 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Versuch 2: Polykondensation zu </w:t>
      </w:r>
      <w:proofErr w:type="spellStart"/>
      <w:r>
        <w:t>Resorcinharz</w:t>
      </w:r>
      <w:proofErr w:type="spellEnd"/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Eine heftige Reaktion findet statt, die Lösungen härten aus. Das Harz mit der Natronlauge als Katalysator nimmt eine gelbbraune Farbe an, das a</w:t>
      </w:r>
      <w:r>
        <w:t>n</w:t>
      </w:r>
      <w:r>
        <w:t xml:space="preserve">dere Harz erscheint rosa.  </w:t>
      </w:r>
    </w:p>
    <w:p w:rsidR="00CD6373" w:rsidRDefault="00CD6373" w:rsidP="00CD6373">
      <w:pPr>
        <w:keepNext/>
        <w:tabs>
          <w:tab w:val="left" w:pos="1701"/>
          <w:tab w:val="left" w:pos="1985"/>
        </w:tabs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36830</wp:posOffset>
            </wp:positionV>
            <wp:extent cx="1612900" cy="1217930"/>
            <wp:effectExtent l="0" t="190500" r="0" b="172720"/>
            <wp:wrapNone/>
            <wp:docPr id="64" name="Bild 19" descr="C:\Users\noraa\Desktop\Fotosaromate\20140819_13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oraa\Desktop\Fotosaromate\20140819_1302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2900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41275</wp:posOffset>
            </wp:positionV>
            <wp:extent cx="1612900" cy="1201420"/>
            <wp:effectExtent l="0" t="209550" r="0" b="189230"/>
            <wp:wrapNone/>
            <wp:docPr id="65" name="Bild 20" descr="C:\Users\noraa\Desktop\Fotosaromate\20140819_13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noraa\Desktop\Fotosaromate\20140819_1307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290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3309896</wp:posOffset>
            </wp:positionH>
            <wp:positionV relativeFrom="paragraph">
              <wp:posOffset>-157923</wp:posOffset>
            </wp:positionV>
            <wp:extent cx="1947773" cy="1604513"/>
            <wp:effectExtent l="19050" t="0" r="0" b="0"/>
            <wp:wrapNone/>
            <wp:docPr id="66" name="Bild 21" descr="C:\Users\noraa\Desktop\Fotosaromate\20140819_14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raa\Desktop\Fotosaromate\20140819_1446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73" cy="16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373" w:rsidRDefault="00CD6373" w:rsidP="00CD6373">
      <w:pPr>
        <w:keepNext/>
        <w:tabs>
          <w:tab w:val="left" w:pos="1701"/>
          <w:tab w:val="left" w:pos="1985"/>
        </w:tabs>
      </w:pPr>
    </w:p>
    <w:p w:rsidR="00CD6373" w:rsidRDefault="00CD6373" w:rsidP="00CD6373">
      <w:pPr>
        <w:keepNext/>
        <w:tabs>
          <w:tab w:val="left" w:pos="1701"/>
          <w:tab w:val="left" w:pos="1985"/>
        </w:tabs>
      </w:pPr>
    </w:p>
    <w:p w:rsidR="00CD6373" w:rsidRDefault="00CD6373" w:rsidP="00CD6373">
      <w:pPr>
        <w:keepNext/>
        <w:tabs>
          <w:tab w:val="left" w:pos="1701"/>
          <w:tab w:val="left" w:pos="1985"/>
        </w:tabs>
      </w:pPr>
    </w:p>
    <w:p w:rsidR="00CD6373" w:rsidRDefault="00CD6373" w:rsidP="00CD6373">
      <w:pPr>
        <w:pStyle w:val="Beschriftung"/>
        <w:jc w:val="left"/>
      </w:pPr>
      <w:r>
        <w:t xml:space="preserve">Abb. 5 - </w:t>
      </w:r>
      <w:r>
        <w:rPr>
          <w:noProof/>
        </w:rPr>
        <w:t xml:space="preserve"> Phthalsäureanhydrid mit Glycerin vor, nach dem Erwärmen und nach dem Aushärten. </w:t>
      </w:r>
    </w:p>
    <w:p w:rsidR="00CD6373" w:rsidRDefault="00CD6373" w:rsidP="00CD6373">
      <w:pPr>
        <w:pStyle w:val="Beschriftung"/>
        <w:jc w:val="left"/>
      </w:pPr>
    </w:p>
    <w:p w:rsidR="00CD6373" w:rsidRDefault="00CD6373" w:rsidP="00CD6373">
      <w:pPr>
        <w:pStyle w:val="Beschriftung"/>
        <w:jc w:val="left"/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2343737</wp:posOffset>
            </wp:positionH>
            <wp:positionV relativeFrom="paragraph">
              <wp:posOffset>71635</wp:posOffset>
            </wp:positionV>
            <wp:extent cx="1647645" cy="908661"/>
            <wp:effectExtent l="0" t="361950" r="0" b="348639"/>
            <wp:wrapNone/>
            <wp:docPr id="68" name="Bild 23" descr="C:\Users\noraa\Desktop\Fotosaromate\20140819_14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oraa\Desktop\Fotosaromate\20140819_1401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645" cy="90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1412084</wp:posOffset>
            </wp:positionH>
            <wp:positionV relativeFrom="paragraph">
              <wp:posOffset>43959</wp:posOffset>
            </wp:positionV>
            <wp:extent cx="1647645" cy="964541"/>
            <wp:effectExtent l="0" t="342900" r="0" b="330859"/>
            <wp:wrapNone/>
            <wp:docPr id="67" name="Bild 22" descr="C:\Users\noraa\Desktop\Fotosaromate\20140819_13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oraa\Desktop\Fotosaromate\20140819_1358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645" cy="96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373" w:rsidRDefault="00CD6373" w:rsidP="00CD6373"/>
    <w:p w:rsidR="00CD6373" w:rsidRDefault="00CD6373" w:rsidP="00CD6373"/>
    <w:p w:rsidR="00CD6373" w:rsidRPr="00193B00" w:rsidRDefault="00CD6373" w:rsidP="00CD6373"/>
    <w:p w:rsidR="00CD6373" w:rsidRDefault="00CD6373" w:rsidP="00CD6373">
      <w:pPr>
        <w:pStyle w:val="Beschriftung"/>
        <w:jc w:val="left"/>
      </w:pPr>
      <w:r>
        <w:t xml:space="preserve">Abb. 6- </w:t>
      </w:r>
      <w:r>
        <w:rPr>
          <w:noProof/>
        </w:rPr>
        <w:t xml:space="preserve"> Resorcin und Formaldehyd vor und nach der Kondensation. Auf dem rechten Bild ist links die Kondensation mit Natronlauge als Katalysator, rechts die Kondensation mit Salzsäure.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Versuch 1: </w:t>
      </w:r>
      <w:proofErr w:type="spellStart"/>
      <w:r>
        <w:t>Polyveresterung</w:t>
      </w:r>
      <w:proofErr w:type="spellEnd"/>
      <w:r>
        <w:t xml:space="preserve"> 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436880</wp:posOffset>
            </wp:positionV>
            <wp:extent cx="2287905" cy="1860550"/>
            <wp:effectExtent l="19050" t="0" r="0" b="0"/>
            <wp:wrapNone/>
            <wp:docPr id="43" name="Bild 16" descr="C:\Users\noraa\Documents\SVP Chemie\Aromaten\polyest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oraa\Documents\SVP Chemie\Aromaten\polyester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  <w:t xml:space="preserve">Unter Wasserabspaltung entsteht ein Polyester als </w:t>
      </w:r>
      <w:proofErr w:type="spellStart"/>
      <w:r>
        <w:t>Gylcerin</w:t>
      </w:r>
      <w:proofErr w:type="spellEnd"/>
      <w:r>
        <w:t xml:space="preserve"> und </w:t>
      </w:r>
      <w:proofErr w:type="spellStart"/>
      <w:r>
        <w:t>Phthalsäureanhydrid</w:t>
      </w:r>
      <w:proofErr w:type="spellEnd"/>
      <w:r>
        <w:t>.</w:t>
      </w:r>
      <w:r>
        <w:rPr>
          <w:noProof/>
          <w:lang w:eastAsia="de-DE"/>
        </w:rPr>
        <w:t xml:space="preserve"> </w:t>
      </w:r>
      <w:r>
        <w:tab/>
      </w:r>
      <w:r>
        <w:tab/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  <w:rPr>
          <w:color w:val="FF0000"/>
        </w:rPr>
      </w:pPr>
      <w:r>
        <w:rPr>
          <w:noProof/>
          <w:color w:val="FF0000"/>
          <w:lang w:eastAsia="de-D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87630</wp:posOffset>
            </wp:positionV>
            <wp:extent cx="605790" cy="1275715"/>
            <wp:effectExtent l="19050" t="0" r="3810" b="0"/>
            <wp:wrapNone/>
            <wp:docPr id="10" name="Bild 12" descr="C:\Users\noraa\Documents\SVP Chemie\Aromaten\glycer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oraa\Documents\SVP Chemie\Aromaten\glycerin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lang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1320195</wp:posOffset>
            </wp:positionH>
            <wp:positionV relativeFrom="paragraph">
              <wp:posOffset>329254</wp:posOffset>
            </wp:positionV>
            <wp:extent cx="937880" cy="1031358"/>
            <wp:effectExtent l="19050" t="0" r="0" b="0"/>
            <wp:wrapNone/>
            <wp:docPr id="11" name="Bild 15" descr="C:\Users\noraa\Documents\SVP Chemie\Aromaten\phthalsäureanhydri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raa\Documents\SVP Chemie\Aromaten\phthalsäureanhydrid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373" w:rsidRPr="00DF548B" w:rsidRDefault="00CD6373" w:rsidP="00CD637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1C2BFE">
        <w:rPr>
          <w:noProof/>
          <w:color w:val="FF000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8.8pt;margin-top:26.7pt;width:51.15pt;height:0;z-index:251672576" o:connectortype="straight">
            <v:stroke endarrow="block"/>
          </v:shape>
        </w:pict>
      </w:r>
      <w:r>
        <w:rPr>
          <w:color w:val="FF0000"/>
        </w:rPr>
        <w:tab/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  <w:rPr>
          <w:color w:val="FF0000"/>
        </w:rPr>
      </w:pPr>
      <w:r>
        <w:rPr>
          <w:color w:val="FF0000"/>
        </w:rPr>
        <w:tab/>
      </w:r>
      <w:r>
        <w:rPr>
          <w:color w:val="auto"/>
        </w:rPr>
        <w:t>+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A1282">
        <w:rPr>
          <w:color w:val="auto"/>
        </w:rPr>
        <w:t>-H</w:t>
      </w:r>
      <w:r w:rsidRPr="00EA1282">
        <w:rPr>
          <w:color w:val="auto"/>
          <w:vertAlign w:val="subscript"/>
        </w:rPr>
        <w:t>2</w:t>
      </w:r>
      <w:r w:rsidRPr="00EA1282">
        <w:rPr>
          <w:color w:val="auto"/>
        </w:rPr>
        <w:t>O</w:t>
      </w:r>
    </w:p>
    <w:p w:rsidR="00CD6373" w:rsidRDefault="00CD6373" w:rsidP="00CD6373">
      <w:pPr>
        <w:pStyle w:val="Listenabsatz"/>
        <w:tabs>
          <w:tab w:val="left" w:pos="1701"/>
          <w:tab w:val="left" w:pos="1985"/>
        </w:tabs>
        <w:ind w:left="4605"/>
      </w:pPr>
      <w:r>
        <w:lastRenderedPageBreak/>
        <w:tab/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>Glycerin</w:t>
      </w:r>
      <w:r>
        <w:tab/>
      </w:r>
      <w:proofErr w:type="spellStart"/>
      <w:r>
        <w:t>Phthalsäureanhydrid</w:t>
      </w:r>
      <w:proofErr w:type="spellEnd"/>
      <w:r>
        <w:tab/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Versuch 2: Polykondensation zu </w:t>
      </w:r>
      <w:proofErr w:type="spellStart"/>
      <w:r>
        <w:t>Resorcinharz</w:t>
      </w:r>
      <w:proofErr w:type="spellEnd"/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471805</wp:posOffset>
            </wp:positionV>
            <wp:extent cx="2287905" cy="2125980"/>
            <wp:effectExtent l="19050" t="0" r="0" b="0"/>
            <wp:wrapNone/>
            <wp:docPr id="51" name="Bild 18" descr="C:\Users\noraa\Documents\SVP Chemie\Aromaten\resorcinhar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oraa\Documents\SVP Chemie\Aromaten\resorcinharz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Es findet </w:t>
      </w:r>
      <w:r w:rsidRPr="00434224">
        <w:rPr>
          <w:rFonts w:eastAsiaTheme="minorEastAsia"/>
          <w:color w:val="auto"/>
        </w:rPr>
        <w:t>eine Polykondensation v</w:t>
      </w:r>
      <w:r>
        <w:rPr>
          <w:rFonts w:eastAsiaTheme="minorEastAsia"/>
        </w:rPr>
        <w:t xml:space="preserve">on </w:t>
      </w:r>
      <w:proofErr w:type="spellStart"/>
      <w:r>
        <w:rPr>
          <w:rFonts w:eastAsiaTheme="minorEastAsia"/>
        </w:rPr>
        <w:t>Resorcin</w:t>
      </w:r>
      <w:proofErr w:type="spellEnd"/>
      <w:r>
        <w:rPr>
          <w:rFonts w:eastAsiaTheme="minorEastAsia"/>
        </w:rPr>
        <w:t xml:space="preserve"> und Formaldehyd unter Wasserabspaltung statt. 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1412084</wp:posOffset>
            </wp:positionH>
            <wp:positionV relativeFrom="paragraph">
              <wp:posOffset>171390</wp:posOffset>
            </wp:positionV>
            <wp:extent cx="671063" cy="638355"/>
            <wp:effectExtent l="19050" t="0" r="0" b="0"/>
            <wp:wrapNone/>
            <wp:docPr id="50" name="Bild 17" descr="C:\Users\noraa\Documents\SVP Chemie\Aromaten\formaldehy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raa\Documents\SVP Chemie\Aromaten\formaldehyd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3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-61236</wp:posOffset>
            </wp:positionH>
            <wp:positionV relativeFrom="paragraph">
              <wp:posOffset>85126</wp:posOffset>
            </wp:positionV>
            <wp:extent cx="860845" cy="905774"/>
            <wp:effectExtent l="19050" t="0" r="0" b="0"/>
            <wp:wrapNone/>
            <wp:docPr id="49" name="Bild 16" descr="C:\Users\noraa\Documents\SVP Chemie\Aromaten\resorc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oraa\Documents\SVP Chemie\Aromaten\resorcin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58B">
        <w:t xml:space="preserve"> 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8" type="#_x0000_t32" style="position:absolute;left:0;text-align:left;margin-left:197.45pt;margin-top:23.55pt;width:62.5pt;height:0;z-index:251668480" o:connectortype="straight">
            <v:stroke endarrow="block"/>
          </v:shape>
        </w:pict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  <w:t>H</w:t>
      </w:r>
      <w:r>
        <w:rPr>
          <w:vertAlign w:val="superscript"/>
        </w:rPr>
        <w:t>+</w:t>
      </w:r>
      <w:r>
        <w:t>/ OH</w:t>
      </w:r>
      <w:r>
        <w:rPr>
          <w:vertAlign w:val="superscript"/>
        </w:rPr>
        <w:t>-</w:t>
      </w:r>
      <w:r w:rsidRPr="00ED43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D6373" w:rsidRPr="008F0D1A" w:rsidRDefault="00CD6373" w:rsidP="00CD637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-H</w:t>
      </w:r>
      <w:r>
        <w:rPr>
          <w:vertAlign w:val="subscript"/>
        </w:rPr>
        <w:t>2</w:t>
      </w:r>
      <w:r>
        <w:t>O</w:t>
      </w:r>
    </w:p>
    <w:p w:rsidR="00CD6373" w:rsidRDefault="00CD6373" w:rsidP="00CD637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proofErr w:type="spellStart"/>
      <w:r>
        <w:t>Resorcin</w:t>
      </w:r>
      <w:proofErr w:type="spellEnd"/>
      <w:r>
        <w:tab/>
      </w:r>
      <w:r>
        <w:tab/>
      </w:r>
      <w:r>
        <w:tab/>
      </w:r>
      <w:r>
        <w:tab/>
        <w:t>Formaldehyd</w:t>
      </w:r>
      <w:r w:rsidRPr="002C56E1">
        <w:t xml:space="preserve"> </w:t>
      </w:r>
    </w:p>
    <w:p w:rsidR="00CD6373" w:rsidRDefault="00CD6373" w:rsidP="00CD6373">
      <w:pPr>
        <w:tabs>
          <w:tab w:val="left" w:pos="1701"/>
          <w:tab w:val="left" w:pos="1985"/>
        </w:tabs>
        <w:rPr>
          <w:rFonts w:eastAsiaTheme="minorEastAsia"/>
        </w:rPr>
      </w:pPr>
    </w:p>
    <w:p w:rsidR="00CD6373" w:rsidRDefault="00CD6373" w:rsidP="00CD6373">
      <w:pPr>
        <w:spacing w:line="276" w:lineRule="auto"/>
        <w:ind w:left="2124" w:hanging="2124"/>
        <w:jc w:val="left"/>
        <w:rPr>
          <w:color w:val="1F497D" w:themeColor="text2"/>
        </w:rPr>
      </w:pPr>
      <w:r>
        <w:t>Literatur:</w:t>
      </w:r>
      <w:r>
        <w:tab/>
      </w:r>
      <w:r>
        <w:rPr>
          <w:rFonts w:cs="Cambria"/>
          <w:color w:val="1D1B11"/>
        </w:rPr>
        <w:t xml:space="preserve">K. Häusler, H. </w:t>
      </w:r>
      <w:proofErr w:type="spellStart"/>
      <w:r>
        <w:rPr>
          <w:rFonts w:cs="Cambria"/>
          <w:color w:val="1D1B11"/>
        </w:rPr>
        <w:t>Rampf</w:t>
      </w:r>
      <w:proofErr w:type="spellEnd"/>
      <w:r>
        <w:rPr>
          <w:rFonts w:cs="Cambria"/>
          <w:color w:val="1D1B11"/>
        </w:rPr>
        <w:t xml:space="preserve">, R. Reichelt, Experimente für den Chemieunterricht mit einer Einführung in die Labortechnik, </w:t>
      </w:r>
      <w:proofErr w:type="spellStart"/>
      <w:r>
        <w:rPr>
          <w:rFonts w:cs="Cambria"/>
          <w:color w:val="1D1B11"/>
        </w:rPr>
        <w:t>Oldenbourg</w:t>
      </w:r>
      <w:proofErr w:type="spellEnd"/>
      <w:r>
        <w:rPr>
          <w:rFonts w:cs="Cambria"/>
          <w:color w:val="1D1B11"/>
        </w:rPr>
        <w:t>, 2. Auflage 1995, Druck 2013, S. 317, 318, 319, 320.</w:t>
      </w:r>
    </w:p>
    <w:p w:rsidR="00CD6373" w:rsidRPr="00F65A81" w:rsidRDefault="00CD6373" w:rsidP="00CD6373">
      <w:pPr>
        <w:spacing w:line="276" w:lineRule="auto"/>
        <w:ind w:left="2124" w:hanging="2124"/>
        <w:jc w:val="left"/>
        <w:rPr>
          <w:rFonts w:cs="Cambria"/>
          <w:color w:val="1D1B11"/>
        </w:rPr>
      </w:pPr>
      <w:r w:rsidRPr="002C56E1">
        <w:rPr>
          <w:rFonts w:cs="Cambria"/>
          <w:color w:val="1D1B11"/>
        </w:rPr>
        <w:t xml:space="preserve">Entsorgung: </w:t>
      </w:r>
      <w:r w:rsidRPr="002C56E1">
        <w:rPr>
          <w:rFonts w:cs="Cambria"/>
          <w:color w:val="1D1B11"/>
        </w:rPr>
        <w:tab/>
        <w:t>Die Kunststoffe können in den Feststoffabfall gegeben werden.</w:t>
      </w:r>
    </w:p>
    <w:p w:rsidR="00CD6373" w:rsidRPr="006E32AF" w:rsidRDefault="00CD6373" w:rsidP="00CD637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1C2BFE">
        <w:pict>
          <v:shape id="_x0000_s1026" type="#_x0000_t202" style="width:462.45pt;height:64.6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CD6373" w:rsidRPr="000D10FB" w:rsidRDefault="00CD6373" w:rsidP="00CD6373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Diese Versuche können in der Einheit Kunststoffe auch durchgeführt werden. In der Einheit zu Aromaten sollte dieser Versuch in der Vertiefungsphase durchgeführt werden. Es können a</w:t>
                  </w:r>
                  <w:r>
                    <w:rPr>
                      <w:color w:val="1F497D" w:themeColor="text2"/>
                    </w:rPr>
                    <w:t>l</w:t>
                  </w:r>
                  <w:r>
                    <w:rPr>
                      <w:color w:val="1F497D" w:themeColor="text2"/>
                    </w:rPr>
                    <w:t xml:space="preserve">ternativ auch andere Kunststoffe aus Aromaten hergestellt werden, wie Polystyrol. </w:t>
                  </w:r>
                </w:p>
              </w:txbxContent>
            </v:textbox>
            <w10:wrap type="none"/>
            <w10:anchorlock/>
          </v:shape>
        </w:pict>
      </w: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6373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63E9E"/>
    <w:rsid w:val="000712EA"/>
    <w:rsid w:val="00071664"/>
    <w:rsid w:val="00071F21"/>
    <w:rsid w:val="00097DCC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0609"/>
    <w:rsid w:val="00124004"/>
    <w:rsid w:val="00125FA3"/>
    <w:rsid w:val="00133E86"/>
    <w:rsid w:val="0013665F"/>
    <w:rsid w:val="00141789"/>
    <w:rsid w:val="00153566"/>
    <w:rsid w:val="00160B0B"/>
    <w:rsid w:val="00162FC5"/>
    <w:rsid w:val="00163AB4"/>
    <w:rsid w:val="00163BCB"/>
    <w:rsid w:val="00176222"/>
    <w:rsid w:val="00180232"/>
    <w:rsid w:val="00181C91"/>
    <w:rsid w:val="00191E34"/>
    <w:rsid w:val="001934D1"/>
    <w:rsid w:val="00194426"/>
    <w:rsid w:val="001A5655"/>
    <w:rsid w:val="001C2C46"/>
    <w:rsid w:val="001C306B"/>
    <w:rsid w:val="001C5C03"/>
    <w:rsid w:val="001D7831"/>
    <w:rsid w:val="001E691A"/>
    <w:rsid w:val="001F22CF"/>
    <w:rsid w:val="00202A5F"/>
    <w:rsid w:val="002058D0"/>
    <w:rsid w:val="0020742B"/>
    <w:rsid w:val="00217EFE"/>
    <w:rsid w:val="00222B6A"/>
    <w:rsid w:val="00242A32"/>
    <w:rsid w:val="00257F3F"/>
    <w:rsid w:val="002606BA"/>
    <w:rsid w:val="002608F0"/>
    <w:rsid w:val="002726D5"/>
    <w:rsid w:val="00294AEC"/>
    <w:rsid w:val="002A2225"/>
    <w:rsid w:val="002A4424"/>
    <w:rsid w:val="002B2937"/>
    <w:rsid w:val="002D4907"/>
    <w:rsid w:val="002E1486"/>
    <w:rsid w:val="002E2AA5"/>
    <w:rsid w:val="002E2B43"/>
    <w:rsid w:val="002E47B4"/>
    <w:rsid w:val="00300C3D"/>
    <w:rsid w:val="00300EE4"/>
    <w:rsid w:val="0030304D"/>
    <w:rsid w:val="00303685"/>
    <w:rsid w:val="0030793D"/>
    <w:rsid w:val="003109AD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74566"/>
    <w:rsid w:val="00480B4F"/>
    <w:rsid w:val="004812F8"/>
    <w:rsid w:val="004871BC"/>
    <w:rsid w:val="00491914"/>
    <w:rsid w:val="00491CA9"/>
    <w:rsid w:val="00494EDF"/>
    <w:rsid w:val="004A639D"/>
    <w:rsid w:val="004A6FB9"/>
    <w:rsid w:val="004B11F5"/>
    <w:rsid w:val="004B634C"/>
    <w:rsid w:val="004C0169"/>
    <w:rsid w:val="004C420A"/>
    <w:rsid w:val="004D1DFD"/>
    <w:rsid w:val="004D3AD7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645C"/>
    <w:rsid w:val="0058161A"/>
    <w:rsid w:val="005A11B6"/>
    <w:rsid w:val="005A39E9"/>
    <w:rsid w:val="005A4B00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0E6F"/>
    <w:rsid w:val="00673E1C"/>
    <w:rsid w:val="00681EF7"/>
    <w:rsid w:val="00693D98"/>
    <w:rsid w:val="0069652D"/>
    <w:rsid w:val="006B2545"/>
    <w:rsid w:val="006C05EC"/>
    <w:rsid w:val="006D0F1B"/>
    <w:rsid w:val="006D4B22"/>
    <w:rsid w:val="006F1F6D"/>
    <w:rsid w:val="006F20E3"/>
    <w:rsid w:val="006F553A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5561"/>
    <w:rsid w:val="007D7553"/>
    <w:rsid w:val="007E0E3B"/>
    <w:rsid w:val="007E685C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7635A"/>
    <w:rsid w:val="008937B4"/>
    <w:rsid w:val="00894891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118B9"/>
    <w:rsid w:val="00C12450"/>
    <w:rsid w:val="00C13B17"/>
    <w:rsid w:val="00C14ED4"/>
    <w:rsid w:val="00C235C2"/>
    <w:rsid w:val="00C30743"/>
    <w:rsid w:val="00C357F7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87DC6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D6373"/>
    <w:rsid w:val="00CE632A"/>
    <w:rsid w:val="00CF6B08"/>
    <w:rsid w:val="00CF75F7"/>
    <w:rsid w:val="00D00B05"/>
    <w:rsid w:val="00D10603"/>
    <w:rsid w:val="00D12B8C"/>
    <w:rsid w:val="00D13B63"/>
    <w:rsid w:val="00D15269"/>
    <w:rsid w:val="00D220DB"/>
    <w:rsid w:val="00D42583"/>
    <w:rsid w:val="00D476A5"/>
    <w:rsid w:val="00D53C0A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9278F"/>
    <w:rsid w:val="00DA22D3"/>
    <w:rsid w:val="00DA4EC1"/>
    <w:rsid w:val="00DB4079"/>
    <w:rsid w:val="00DC7A1A"/>
    <w:rsid w:val="00DD1B5C"/>
    <w:rsid w:val="00DD575F"/>
    <w:rsid w:val="00DE1180"/>
    <w:rsid w:val="00DE2060"/>
    <w:rsid w:val="00DE3E4F"/>
    <w:rsid w:val="00DF2622"/>
    <w:rsid w:val="00DF61BF"/>
    <w:rsid w:val="00E00713"/>
    <w:rsid w:val="00E02C43"/>
    <w:rsid w:val="00E047FD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37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637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637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637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63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63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63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63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63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63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37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637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37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6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6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63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63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63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63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D6373"/>
    <w:pPr>
      <w:spacing w:line="240" w:lineRule="auto"/>
    </w:pPr>
    <w:rPr>
      <w:bCs/>
      <w:color w:val="auto"/>
      <w:sz w:val="18"/>
      <w:szCs w:val="18"/>
    </w:rPr>
  </w:style>
  <w:style w:type="paragraph" w:styleId="Listenabsatz">
    <w:name w:val="List Paragraph"/>
    <w:basedOn w:val="Standard"/>
    <w:uiPriority w:val="34"/>
    <w:qFormat/>
    <w:rsid w:val="00CD6373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37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tiff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tif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tif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tiff"/><Relationship Id="rId10" Type="http://schemas.openxmlformats.org/officeDocument/2006/relationships/image" Target="media/image6.png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1</cp:revision>
  <dcterms:created xsi:type="dcterms:W3CDTF">2014-08-27T08:35:00Z</dcterms:created>
  <dcterms:modified xsi:type="dcterms:W3CDTF">2014-08-27T08:35:00Z</dcterms:modified>
</cp:coreProperties>
</file>