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75" w:rsidRDefault="00C35F75" w:rsidP="00C35F75">
      <w:pPr>
        <w:pStyle w:val="berschrift1"/>
        <w:numPr>
          <w:ilvl w:val="0"/>
          <w:numId w:val="0"/>
        </w:numPr>
      </w:pPr>
      <w:bookmarkStart w:id="0" w:name="_Toc425776595"/>
      <w:bookmarkStart w:id="1" w:name="_Toc42776060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39E7" wp14:editId="6F3B1082">
                <wp:simplePos x="0" y="0"/>
                <wp:positionH relativeFrom="column">
                  <wp:posOffset>-4445</wp:posOffset>
                </wp:positionH>
                <wp:positionV relativeFrom="paragraph">
                  <wp:posOffset>1018540</wp:posOffset>
                </wp:positionV>
                <wp:extent cx="5873115" cy="923925"/>
                <wp:effectExtent l="0" t="0" r="13335" b="28575"/>
                <wp:wrapSquare wrapText="bothSides"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23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5F75" w:rsidRPr="00F31EBF" w:rsidRDefault="00C35F75" w:rsidP="00C35F75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Zur Ermittlung des Löslichkeitsprodukts von Silberchlorid wird die Spannung eines galvan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 xml:space="preserve">schen Elements gemessen und über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Nernst‘sche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Gleichung das Löslichkeitsprodukt errec</w:t>
                            </w:r>
                            <w:r>
                              <w:rPr>
                                <w:color w:val="auto"/>
                              </w:rPr>
                              <w:t>h</w:t>
                            </w:r>
                            <w:r>
                              <w:rPr>
                                <w:color w:val="auto"/>
                              </w:rPr>
                              <w:t>net.</w:t>
                            </w:r>
                            <w:bookmarkStart w:id="2" w:name="_GoBack"/>
                            <w:bookmarkEnd w:id="2"/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BA5E9E" w:rsidRDefault="00BA5E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35pt;margin-top:80.2pt;width:462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:rsidR="00C35F75" w:rsidRPr="00F31EBF" w:rsidRDefault="00C35F75" w:rsidP="00C35F75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Zur Ermittlung des Löslichkeitsprodukts von Silberchlorid wird die Spannung eines galvan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 xml:space="preserve">schen Elements gemessen und über die </w:t>
                      </w:r>
                      <w:proofErr w:type="spellStart"/>
                      <w:r>
                        <w:rPr>
                          <w:color w:val="auto"/>
                        </w:rPr>
                        <w:t>Nernst‘sche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Gleichung das Löslichkeitsprodukt errec</w:t>
                      </w:r>
                      <w:r>
                        <w:rPr>
                          <w:color w:val="auto"/>
                        </w:rPr>
                        <w:t>h</w:t>
                      </w:r>
                      <w:r>
                        <w:rPr>
                          <w:color w:val="auto"/>
                        </w:rPr>
                        <w:t>net.</w:t>
                      </w:r>
                      <w:bookmarkStart w:id="3" w:name="_GoBack"/>
                      <w:bookmarkEnd w:id="3"/>
                      <w:r>
                        <w:rPr>
                          <w:color w:val="auto"/>
                        </w:rPr>
                        <w:t xml:space="preserve"> </w:t>
                      </w:r>
                    </w:p>
                    <w:p w:rsidR="00BA5E9E" w:rsidRDefault="00BA5E9E"/>
                  </w:txbxContent>
                </v:textbox>
                <w10:wrap type="square"/>
              </v:shape>
            </w:pict>
          </mc:Fallback>
        </mc:AlternateContent>
      </w:r>
      <w:bookmarkEnd w:id="0"/>
      <w:r>
        <w:t>Lehrer</w:t>
      </w:r>
      <w:r>
        <w:t>_innen</w:t>
      </w:r>
      <w:r>
        <w:t>-/</w:t>
      </w:r>
      <w:proofErr w:type="spellStart"/>
      <w:r>
        <w:t>Schüler</w:t>
      </w:r>
      <w:r>
        <w:t>_innen</w:t>
      </w:r>
      <w:r>
        <w:t>versuch</w:t>
      </w:r>
      <w:proofErr w:type="spellEnd"/>
      <w:r>
        <w:t xml:space="preserve"> – Bestimmung des Löslichkeitsprodukts von Silberchlorid</w:t>
      </w:r>
      <w:bookmarkEnd w:id="1"/>
    </w:p>
    <w:p w:rsidR="00C35F75" w:rsidRDefault="00C35F75" w:rsidP="00C35F75"/>
    <w:tbl>
      <w:tblPr>
        <w:tblW w:w="9356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35F75" w:rsidRPr="009C5E28" w:rsidTr="00A62447">
        <w:tc>
          <w:tcPr>
            <w:tcW w:w="9356" w:type="dxa"/>
            <w:gridSpan w:val="9"/>
            <w:shd w:val="clear" w:color="auto" w:fill="4F81BD"/>
            <w:vAlign w:val="center"/>
          </w:tcPr>
          <w:p w:rsidR="00C35F75" w:rsidRPr="00F31EBF" w:rsidRDefault="00C35F75" w:rsidP="00A6244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35F75" w:rsidRPr="009C5E28" w:rsidTr="00A62447">
        <w:trPr>
          <w:trHeight w:val="437"/>
        </w:trPr>
        <w:tc>
          <w:tcPr>
            <w:tcW w:w="306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Silbernitrat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F635F7" w:rsidRDefault="00C35F75" w:rsidP="00A62447">
            <w:pPr>
              <w:spacing w:after="0"/>
              <w:jc w:val="center"/>
              <w:rPr>
                <w:sz w:val="20"/>
                <w:szCs w:val="20"/>
              </w:rPr>
            </w:pPr>
            <w:r w:rsidRPr="008C7E64">
              <w:rPr>
                <w:sz w:val="20"/>
                <w:szCs w:val="20"/>
              </w:rPr>
              <w:t>H:</w:t>
            </w:r>
            <w:r w:rsidRPr="00F635F7">
              <w:rPr>
                <w:sz w:val="20"/>
                <w:szCs w:val="20"/>
              </w:rPr>
              <w:t>272-314-410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273-</w:t>
            </w:r>
            <w:hyperlink r:id="rId6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280</w:t>
              </w:r>
            </w:hyperlink>
            <w:r w:rsidRPr="009C5E28">
              <w:rPr>
                <w:sz w:val="20"/>
              </w:rPr>
              <w:t>-​</w:t>
            </w:r>
            <w:hyperlink r:id="rId7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301+330+331</w:t>
              </w:r>
            </w:hyperlink>
            <w:r>
              <w:rPr>
                <w:rStyle w:val="Hyperlink"/>
                <w:color w:val="auto"/>
                <w:sz w:val="20"/>
              </w:rPr>
              <w:t>-305+351+338-309+310</w:t>
            </w:r>
          </w:p>
        </w:tc>
      </w:tr>
      <w:tr w:rsidR="00C35F75" w:rsidRPr="009C5E28" w:rsidTr="00A62447">
        <w:trPr>
          <w:trHeight w:val="437"/>
        </w:trPr>
        <w:tc>
          <w:tcPr>
            <w:tcW w:w="306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Default="00C35F75" w:rsidP="00A6244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C35F75" w:rsidRPr="009C5E28" w:rsidTr="00A62447">
        <w:trPr>
          <w:trHeight w:val="437"/>
        </w:trPr>
        <w:tc>
          <w:tcPr>
            <w:tcW w:w="306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Default="00C35F75" w:rsidP="00A6244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Kaliumnitrat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210-221</w:t>
            </w:r>
          </w:p>
        </w:tc>
      </w:tr>
      <w:tr w:rsidR="00C35F75" w:rsidRPr="009C5E28" w:rsidTr="00A62447">
        <w:trPr>
          <w:trHeight w:val="437"/>
        </w:trPr>
        <w:tc>
          <w:tcPr>
            <w:tcW w:w="306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Default="00C35F75" w:rsidP="00A6244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Silberchlorid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C35F75" w:rsidRPr="009C5E28" w:rsidTr="00A62447">
        <w:tc>
          <w:tcPr>
            <w:tcW w:w="10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501062A" wp14:editId="635629BC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4C7ECDB" wp14:editId="44D6733C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1164AF" wp14:editId="395070B5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804B8B" wp14:editId="12DEE9D1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51F289" wp14:editId="68D254BF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B68D04" wp14:editId="614CCE62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8566703" wp14:editId="05BABD54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39974DF" wp14:editId="012551DA">
                  <wp:extent cx="511175" cy="511175"/>
                  <wp:effectExtent l="0" t="0" r="3175" b="317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35F75" w:rsidRPr="009C5E28" w:rsidRDefault="00C35F7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8D1D59C" wp14:editId="44FC751C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F75" w:rsidRDefault="00C35F75" w:rsidP="00C35F75">
      <w:pPr>
        <w:tabs>
          <w:tab w:val="left" w:pos="1701"/>
          <w:tab w:val="left" w:pos="1985"/>
        </w:tabs>
        <w:ind w:left="1980" w:hanging="1980"/>
      </w:pPr>
    </w:p>
    <w:p w:rsidR="00C35F75" w:rsidRDefault="00C35F75" w:rsidP="00C35F7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Silberelektroden, 2x 50 ml Bechergläser, Filterpapierstreifen, Glasstab, Kabel, Multimeter</w:t>
      </w:r>
    </w:p>
    <w:p w:rsidR="00C35F75" w:rsidRPr="00ED07C2" w:rsidRDefault="00C35F75" w:rsidP="00C35F7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Silbernitratlösung (c = 0,1 </w:t>
      </w:r>
      <w:proofErr w:type="spellStart"/>
      <w:r>
        <w:t>mol</w:t>
      </w:r>
      <w:proofErr w:type="spellEnd"/>
      <w:r>
        <w:t xml:space="preserve">/L), </w:t>
      </w:r>
      <w:proofErr w:type="spellStart"/>
      <w:r>
        <w:t>Natriumchloridlösung</w:t>
      </w:r>
      <w:proofErr w:type="spellEnd"/>
      <w:r>
        <w:t xml:space="preserve"> (c = 1 </w:t>
      </w:r>
      <w:proofErr w:type="spellStart"/>
      <w:r>
        <w:t>mol</w:t>
      </w:r>
      <w:proofErr w:type="spellEnd"/>
      <w:r>
        <w:t>/L), Kaliumnitratlösung (c = 3 </w:t>
      </w:r>
      <w:proofErr w:type="spellStart"/>
      <w:r>
        <w:t>mol</w:t>
      </w:r>
      <w:proofErr w:type="spellEnd"/>
      <w:r>
        <w:t>/L)</w:t>
      </w:r>
    </w:p>
    <w:p w:rsidR="00C35F75" w:rsidRDefault="00C35F75" w:rsidP="00C35F7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ein Becherglas werden 50 ml Silbernitrat- in das andere 50 ml </w:t>
      </w:r>
      <w:proofErr w:type="spellStart"/>
      <w:r>
        <w:t>Natriu</w:t>
      </w:r>
      <w:r>
        <w:t>m</w:t>
      </w:r>
      <w:r>
        <w:t>chloridlösung</w:t>
      </w:r>
      <w:proofErr w:type="spellEnd"/>
      <w:r>
        <w:t xml:space="preserve"> gefüllt. Anschließend wird ein Streifen Filterpapier mit Kal</w:t>
      </w:r>
      <w:r>
        <w:t>i</w:t>
      </w:r>
      <w:r>
        <w:t xml:space="preserve">umnitratlösung getränkt und die Enden jeweils in die beiden Bechergläser getaucht. Zu der </w:t>
      </w:r>
      <w:proofErr w:type="spellStart"/>
      <w:r>
        <w:t>Natriumchloridlösung</w:t>
      </w:r>
      <w:proofErr w:type="spellEnd"/>
      <w:r>
        <w:t xml:space="preserve"> werden 3 Tropfen der Silbernitra</w:t>
      </w:r>
      <w:r>
        <w:t>t</w:t>
      </w:r>
      <w:r>
        <w:t>lösung gegeben. Die Silberelektroden werden über die Kabel mit dem Mu</w:t>
      </w:r>
      <w:r>
        <w:t>l</w:t>
      </w:r>
      <w:r>
        <w:t>timeter verbunden und in die Bechergläser getaucht. Nun wird direkt nach dem Eintauchen der Elektroden die Spannung am Multimeter (Gleichspa</w:t>
      </w:r>
      <w:r>
        <w:t>n</w:t>
      </w:r>
      <w:r>
        <w:t xml:space="preserve">nung DC einstellen) abgelesen (s. Abb. 1). </w:t>
      </w:r>
    </w:p>
    <w:p w:rsidR="00C35F75" w:rsidRDefault="00C35F75" w:rsidP="00C35F75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669E5F64" wp14:editId="64BE5A5D">
            <wp:simplePos x="0" y="0"/>
            <wp:positionH relativeFrom="column">
              <wp:posOffset>1529080</wp:posOffset>
            </wp:positionH>
            <wp:positionV relativeFrom="paragraph">
              <wp:posOffset>855980</wp:posOffset>
            </wp:positionV>
            <wp:extent cx="2628900" cy="2577906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55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6868" cy="258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Beobachtung:</w:t>
      </w:r>
      <w:r>
        <w:tab/>
      </w:r>
      <w:r>
        <w:tab/>
      </w:r>
      <w:r>
        <w:tab/>
        <w:t xml:space="preserve">Nach Zugabe der 3 Tropfen Silbernitratlösung in die </w:t>
      </w:r>
      <w:proofErr w:type="spellStart"/>
      <w:r>
        <w:t>Natriumchloridlösung</w:t>
      </w:r>
      <w:proofErr w:type="spellEnd"/>
      <w:r>
        <w:t xml:space="preserve"> kann ein weißer Niederschlag beobachtet werden. Die gemessene Spa</w:t>
      </w:r>
      <w:r>
        <w:t>n</w:t>
      </w:r>
      <w:r>
        <w:t xml:space="preserve">nung beträgt 0,486 V. </w:t>
      </w:r>
    </w:p>
    <w:p w:rsidR="00C35F75" w:rsidRDefault="00C35F75" w:rsidP="00C35F75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C35F75" w:rsidRDefault="00C35F75" w:rsidP="00C35F75">
      <w:pPr>
        <w:keepNext/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</w:p>
    <w:p w:rsidR="00C35F75" w:rsidRDefault="00C35F75" w:rsidP="00C35F75">
      <w:pPr>
        <w:keepNext/>
        <w:tabs>
          <w:tab w:val="left" w:pos="1701"/>
          <w:tab w:val="left" w:pos="1985"/>
        </w:tabs>
        <w:ind w:left="1980" w:hanging="1980"/>
      </w:pPr>
    </w:p>
    <w:p w:rsidR="00C35F75" w:rsidRDefault="00C35F75" w:rsidP="00C35F75">
      <w:pPr>
        <w:pStyle w:val="Beschriftung"/>
        <w:jc w:val="left"/>
        <w:rPr>
          <w:highlight w:val="yellow"/>
        </w:rPr>
      </w:pPr>
    </w:p>
    <w:p w:rsidR="00C35F75" w:rsidRDefault="00C35F75" w:rsidP="00C35F75">
      <w:pPr>
        <w:pStyle w:val="Beschriftung"/>
        <w:jc w:val="left"/>
        <w:rPr>
          <w:highlight w:val="yellow"/>
        </w:rPr>
      </w:pPr>
    </w:p>
    <w:p w:rsidR="00C35F75" w:rsidRDefault="00C35F75" w:rsidP="00C35F75">
      <w:pPr>
        <w:pStyle w:val="Beschriftung"/>
        <w:jc w:val="left"/>
        <w:rPr>
          <w:highlight w:val="yellow"/>
        </w:rPr>
      </w:pPr>
    </w:p>
    <w:p w:rsidR="00C35F75" w:rsidRDefault="00C35F75" w:rsidP="00C35F75">
      <w:pPr>
        <w:pStyle w:val="Beschriftung"/>
        <w:jc w:val="left"/>
        <w:rPr>
          <w:highlight w:val="yellow"/>
        </w:rPr>
      </w:pPr>
    </w:p>
    <w:p w:rsidR="00C35F75" w:rsidRDefault="00C35F75" w:rsidP="00C35F75">
      <w:pPr>
        <w:pStyle w:val="Beschriftung"/>
        <w:jc w:val="left"/>
        <w:rPr>
          <w:highlight w:val="yellow"/>
        </w:rPr>
      </w:pPr>
    </w:p>
    <w:p w:rsidR="00C35F75" w:rsidRDefault="00C35F75" w:rsidP="00C35F75">
      <w:pPr>
        <w:pStyle w:val="Beschriftung"/>
        <w:jc w:val="left"/>
        <w:rPr>
          <w:highlight w:val="yellow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DB8F2" wp14:editId="699D2747">
                <wp:simplePos x="0" y="0"/>
                <wp:positionH relativeFrom="column">
                  <wp:posOffset>1527810</wp:posOffset>
                </wp:positionH>
                <wp:positionV relativeFrom="paragraph">
                  <wp:posOffset>161925</wp:posOffset>
                </wp:positionV>
                <wp:extent cx="2667000" cy="65722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F75" w:rsidRPr="006F7C42" w:rsidRDefault="00C35F75" w:rsidP="00C35F75">
                            <w:pPr>
                              <w:rPr>
                                <w:sz w:val="18"/>
                              </w:rPr>
                            </w:pPr>
                            <w:r w:rsidRPr="006F7C42">
                              <w:rPr>
                                <w:sz w:val="18"/>
                              </w:rPr>
                              <w:t>Abb. 1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 w:rsidRPr="006F7C42">
                              <w:rPr>
                                <w:sz w:val="18"/>
                              </w:rPr>
                              <w:t xml:space="preserve"> Versuchsaufbau der galvanischen Zelle. Links die Anode mit der </w:t>
                            </w:r>
                            <w:proofErr w:type="spellStart"/>
                            <w:r w:rsidRPr="006F7C42">
                              <w:rPr>
                                <w:sz w:val="18"/>
                              </w:rPr>
                              <w:t>Natriumchloridlösung</w:t>
                            </w:r>
                            <w:proofErr w:type="spellEnd"/>
                            <w:r w:rsidRPr="006F7C42">
                              <w:rPr>
                                <w:sz w:val="18"/>
                              </w:rPr>
                              <w:t xml:space="preserve"> und rechts die Kathode mit der Silbernitratlösung.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20.3pt;margin-top:12.75pt;width:210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" stroked="f">
                <v:textbox>
                  <w:txbxContent>
                    <w:p w:rsidR="00C35F75" w:rsidRPr="006F7C42" w:rsidRDefault="00C35F75" w:rsidP="00C35F75">
                      <w:pPr>
                        <w:rPr>
                          <w:sz w:val="18"/>
                        </w:rPr>
                      </w:pPr>
                      <w:r w:rsidRPr="006F7C42">
                        <w:rPr>
                          <w:sz w:val="18"/>
                        </w:rPr>
                        <w:t>Abb. 1</w:t>
                      </w:r>
                      <w:r>
                        <w:rPr>
                          <w:sz w:val="18"/>
                        </w:rPr>
                        <w:t>:</w:t>
                      </w:r>
                      <w:r w:rsidRPr="006F7C42">
                        <w:rPr>
                          <w:sz w:val="18"/>
                        </w:rPr>
                        <w:t xml:space="preserve"> Versuchsaufbau der galvanischen Zelle. Links die Anode mit der </w:t>
                      </w:r>
                      <w:proofErr w:type="spellStart"/>
                      <w:r w:rsidRPr="006F7C42">
                        <w:rPr>
                          <w:sz w:val="18"/>
                        </w:rPr>
                        <w:t>Natriumchloridlösung</w:t>
                      </w:r>
                      <w:proofErr w:type="spellEnd"/>
                      <w:r w:rsidRPr="006F7C42">
                        <w:rPr>
                          <w:sz w:val="18"/>
                        </w:rPr>
                        <w:t xml:space="preserve"> und rechts die Kathode mit der Silbernitratlösung.</w:t>
                      </w:r>
                    </w:p>
                  </w:txbxContent>
                </v:textbox>
              </v:shape>
            </w:pict>
          </mc:Fallback>
        </mc:AlternateContent>
      </w:r>
    </w:p>
    <w:p w:rsidR="00C35F75" w:rsidRPr="006F7C42" w:rsidRDefault="00C35F75" w:rsidP="00C35F75">
      <w:pPr>
        <w:rPr>
          <w:highlight w:val="yellow"/>
        </w:rPr>
      </w:pPr>
    </w:p>
    <w:p w:rsidR="00C35F75" w:rsidRDefault="00C35F75" w:rsidP="00C35F75">
      <w:pPr>
        <w:pStyle w:val="Beschriftung"/>
        <w:jc w:val="left"/>
        <w:rPr>
          <w:highlight w:val="yellow"/>
        </w:rPr>
      </w:pPr>
    </w:p>
    <w:p w:rsidR="00C35F75" w:rsidRDefault="00C35F75" w:rsidP="00C35F75">
      <w:pPr>
        <w:tabs>
          <w:tab w:val="left" w:pos="1701"/>
          <w:tab w:val="left" w:pos="1985"/>
        </w:tabs>
        <w:ind w:left="2124" w:hanging="2124"/>
      </w:pPr>
    </w:p>
    <w:p w:rsidR="00C35F75" w:rsidRDefault="00C35F75" w:rsidP="00C35F75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In der </w:t>
      </w:r>
      <w:proofErr w:type="spellStart"/>
      <w:r>
        <w:t>Natriumchloridlösung</w:t>
      </w:r>
      <w:proofErr w:type="spellEnd"/>
      <w:r>
        <w:t xml:space="preserve"> (Anode) fällt nach Zugabe von Silbernitra</w:t>
      </w:r>
      <w:r>
        <w:t>t</w:t>
      </w:r>
      <w:r>
        <w:t xml:space="preserve">lösung festes Silberchlorid aus. Nach der </w:t>
      </w:r>
      <w:proofErr w:type="spellStart"/>
      <w:r>
        <w:t>Nernst‘schen</w:t>
      </w:r>
      <w:proofErr w:type="spellEnd"/>
      <w:r>
        <w:t xml:space="preserve"> Gleichung gilt für das System </w:t>
      </w:r>
      <w:proofErr w:type="spellStart"/>
      <w:r>
        <w:t>Ag</w:t>
      </w:r>
      <w:proofErr w:type="spellEnd"/>
      <w:r>
        <w:t>/NaCl (c = 1 </w:t>
      </w:r>
      <w:proofErr w:type="spellStart"/>
      <w:r>
        <w:t>mol</w:t>
      </w:r>
      <w:proofErr w:type="spellEnd"/>
      <w:r>
        <w:t>/L)+3 </w:t>
      </w:r>
      <w:proofErr w:type="spellStart"/>
      <w:r>
        <w:t>Tr</w:t>
      </w:r>
      <w:proofErr w:type="spellEnd"/>
      <w:r>
        <w:t>. AgNO</w:t>
      </w:r>
      <w:r w:rsidRPr="00C11641">
        <w:rPr>
          <w:vertAlign w:val="subscript"/>
        </w:rPr>
        <w:t>3</w:t>
      </w:r>
      <w:r>
        <w:t>//AgNO</w:t>
      </w:r>
      <w:r w:rsidRPr="00C11641">
        <w:rPr>
          <w:vertAlign w:val="subscript"/>
        </w:rPr>
        <w:t>3</w:t>
      </w:r>
      <w:r>
        <w:t xml:space="preserve"> (c = 1 </w:t>
      </w:r>
      <w:proofErr w:type="spellStart"/>
      <w:r>
        <w:t>mol</w:t>
      </w:r>
      <w:proofErr w:type="spellEnd"/>
      <w:r>
        <w:t>/L)/</w:t>
      </w:r>
      <w:proofErr w:type="spellStart"/>
      <w:r>
        <w:t>Ag</w:t>
      </w:r>
      <w:proofErr w:type="spellEnd"/>
      <w:r>
        <w:t>:</w:t>
      </w:r>
    </w:p>
    <w:p w:rsidR="00C35F75" w:rsidRPr="00D40392" w:rsidRDefault="00C35F75" w:rsidP="00C35F75">
      <w:pPr>
        <w:tabs>
          <w:tab w:val="left" w:pos="1701"/>
          <w:tab w:val="left" w:pos="1985"/>
        </w:tabs>
        <w:ind w:left="2124" w:hanging="2124"/>
      </w:pPr>
    </w:p>
    <w:p w:rsidR="00C35F75" w:rsidRPr="00D40392" w:rsidRDefault="00C35F75" w:rsidP="00C35F75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</w:r>
      <w:proofErr w:type="spellStart"/>
      <w:r w:rsidRPr="00D40392">
        <w:t>NERNST‘sche</w:t>
      </w:r>
      <w:proofErr w:type="spellEnd"/>
      <w:r w:rsidRPr="00D40392">
        <w:t xml:space="preserve"> Gleichung:</w:t>
      </w:r>
      <w:r w:rsidRPr="00D40392">
        <w:tab/>
        <w:t xml:space="preserve">      </w:t>
      </w:r>
      <m:oMath>
        <m:r>
          <m:rPr>
            <m:sty m:val="p"/>
          </m:rPr>
          <w:rPr>
            <w:rFonts w:ascii="Cambria Math" w:hAnsi="Cambria Math"/>
            <w:lang w:val="el-GR"/>
          </w:rPr>
          <m:t>Δ</m:t>
        </m:r>
        <m:r>
          <m:rPr>
            <m:sty m:val="p"/>
          </m:rPr>
          <w:rPr>
            <w:rFonts w:ascii="Cambria Math" w:hAnsi="Cambria Math"/>
          </w:rPr>
          <m:t>E=0,059 V∙lg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Kathode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Anode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den>
            </m:f>
          </m:e>
        </m:d>
      </m:oMath>
    </w:p>
    <w:p w:rsidR="00C35F75" w:rsidRPr="00D40392" w:rsidRDefault="00C35F75" w:rsidP="00C35F75">
      <w:pPr>
        <w:tabs>
          <w:tab w:val="left" w:pos="1701"/>
          <w:tab w:val="left" w:pos="1985"/>
        </w:tabs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  <w:lang w:val="el-GR"/>
          </w:rPr>
          <m:t>Δ</m:t>
        </m:r>
        <m:r>
          <m:rPr>
            <m:sty m:val="p"/>
          </m:rPr>
          <w:rPr>
            <w:rFonts w:ascii="Cambria Math" w:hAnsi="Cambria Math"/>
          </w:rPr>
          <m:t>E=0,059 V∙lg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0,1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Anode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Ag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=-0,059 V-0,059 V∙lg⁡(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)</m:t>
        </m:r>
      </m:oMath>
    </w:p>
    <w:p w:rsidR="00C35F75" w:rsidRPr="00D40392" w:rsidRDefault="00C35F75" w:rsidP="00C35F75">
      <w:pPr>
        <w:tabs>
          <w:tab w:val="left" w:pos="1701"/>
          <w:tab w:val="left" w:pos="1985"/>
        </w:tabs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hAnsi="Cambria Math"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Anode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</m:sup>
                      </m:sSup>
                    </m:e>
                  </m:d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l-GR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E+0,059 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0,059 V</m:t>
              </m:r>
            </m:den>
          </m:f>
        </m:oMath>
      </m:oMathPara>
    </w:p>
    <w:p w:rsidR="00C35F75" w:rsidRPr="00C35F75" w:rsidRDefault="00C35F75" w:rsidP="00C35F75">
      <w:pPr>
        <w:tabs>
          <w:tab w:val="left" w:pos="1701"/>
          <w:tab w:val="left" w:pos="1985"/>
        </w:tabs>
        <w:ind w:left="2124" w:hanging="2124"/>
        <w:rPr>
          <w:rFonts w:eastAsiaTheme="minorEastAsia"/>
          <w:iCs/>
          <w:lang w:val="es-ES_tradnl"/>
        </w:rPr>
      </w:pPr>
      <w:r w:rsidRPr="00D40392">
        <w:rPr>
          <w:lang w:val="es-ES_tradnl"/>
        </w:rPr>
        <w:tab/>
      </w:r>
      <w:r w:rsidRPr="00D40392">
        <w:rPr>
          <w:lang w:val="es-ES_tradnl"/>
        </w:rPr>
        <w:tab/>
      </w:r>
      <w:r w:rsidRPr="00D40392">
        <w:rPr>
          <w:lang w:val="es-ES_tradnl"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lang w:val="es-ES_tradnl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Δ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E + 0,059 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s-ES_tradnl"/>
                  </w:rPr>
                  <m:t>0,059 V</m:t>
                </m:r>
              </m:den>
            </m:f>
          </m:sup>
        </m:sSup>
      </m:oMath>
      <w:r w:rsidRPr="00C35F75">
        <w:rPr>
          <w:rFonts w:eastAsiaTheme="minorEastAsia"/>
          <w:iCs/>
          <w:lang w:val="es-ES_tradnl"/>
        </w:rPr>
        <w:t xml:space="preserve"> </w:t>
      </w:r>
    </w:p>
    <w:p w:rsidR="00C35F75" w:rsidRPr="00D40392" w:rsidRDefault="00C35F75" w:rsidP="00C35F75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  <w:lang w:val="es-ES_tradnl"/>
        </w:rPr>
        <w:tab/>
      </w:r>
      <w:r w:rsidRPr="00D40392">
        <w:rPr>
          <w:rFonts w:eastAsiaTheme="minorEastAsia"/>
        </w:rPr>
        <w:t>Einsetzen der gemessenen Spannung 0,486 V:</w:t>
      </w:r>
    </w:p>
    <w:p w:rsidR="00C35F75" w:rsidRPr="00D40392" w:rsidRDefault="00C35F75" w:rsidP="00C35F75">
      <w:pPr>
        <w:tabs>
          <w:tab w:val="left" w:pos="1701"/>
          <w:tab w:val="left" w:pos="1985"/>
        </w:tabs>
        <w:rPr>
          <w:rFonts w:eastAsiaTheme="minorEastAsia"/>
        </w:rPr>
      </w:pPr>
      <w:r w:rsidRPr="00D40392">
        <w:rPr>
          <w:rFonts w:eastAsiaTheme="minorEastAsia"/>
          <w:iCs/>
        </w:rPr>
        <w:tab/>
      </w:r>
      <w:r w:rsidRPr="00D40392">
        <w:rPr>
          <w:rFonts w:eastAsiaTheme="minorEastAsia"/>
          <w:iCs/>
        </w:rPr>
        <w:tab/>
      </w:r>
      <w:r w:rsidRPr="00D40392">
        <w:rPr>
          <w:rFonts w:eastAsiaTheme="minorEastAsia"/>
          <w:iCs/>
        </w:rPr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el-GR"/>
                  </w:rPr>
                  <m:t>0,486 V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+0,059 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0,059 V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5,79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r>
          <m:rPr>
            <m:sty m:val="p"/>
          </m:rPr>
          <w:rPr>
            <w:rFonts w:ascii="Cambria Math" w:hAnsi="Cambria Math"/>
            <w:vertAlign w:val="superscript"/>
          </w:rPr>
          <m:t xml:space="preserve"> mol/L </m:t>
        </m:r>
      </m:oMath>
    </w:p>
    <w:p w:rsidR="00C35F75" w:rsidRPr="00D40392" w:rsidRDefault="00C35F75" w:rsidP="00C35F75">
      <w:pPr>
        <w:tabs>
          <w:tab w:val="left" w:pos="1701"/>
          <w:tab w:val="left" w:pos="1985"/>
        </w:tabs>
        <w:ind w:left="2124" w:hanging="2124"/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=1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</m:oMath>
      <w:r w:rsidRPr="00D40392">
        <w:tab/>
      </w:r>
      <w:r w:rsidRPr="00D40392">
        <w:tab/>
      </w:r>
      <w:r w:rsidRPr="00D40392">
        <w:tab/>
      </w:r>
    </w:p>
    <w:p w:rsidR="00C35F75" w:rsidRPr="00D40392" w:rsidRDefault="00C35F75" w:rsidP="00C35F75">
      <w:pPr>
        <w:tabs>
          <w:tab w:val="left" w:pos="1701"/>
          <w:tab w:val="left" w:pos="1985"/>
        </w:tabs>
        <w:ind w:left="2124" w:hanging="2124"/>
      </w:pPr>
      <w:r w:rsidRPr="00D40392">
        <w:tab/>
      </w:r>
      <w:r w:rsidRPr="00D40392">
        <w:tab/>
      </w:r>
      <w:r w:rsidRPr="00D40392">
        <w:tab/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&gt;K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Anode</m:t>
            </m:r>
          </m:sub>
        </m:sSub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∙c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5,79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f>
          <m:fPr>
            <m:ctrlPr>
              <w:rPr>
                <w:rFonts w:ascii="Cambria Math" w:hAnsi="Cambria Math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  <w:vertAlign w:val="superscript"/>
          </w:rPr>
          <m:t>∙</m:t>
        </m:r>
        <m:r>
          <m:rPr>
            <m:sty m:val="p"/>
          </m:rP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5,79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vertAlign w:val="superscript"/>
          </w:rPr>
          <m:t xml:space="preserve"> </m:t>
        </m:r>
      </m:oMath>
    </w:p>
    <w:p w:rsidR="00C35F75" w:rsidRDefault="00C35F75" w:rsidP="00C35F75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</w:r>
      <w:r w:rsidRPr="00D40392">
        <w:rPr>
          <w:rFonts w:eastAsiaTheme="minorEastAsia"/>
        </w:rPr>
        <w:tab/>
        <w:t xml:space="preserve">Der Literaturwert beträgt etwa </w:t>
      </w:r>
      <m:oMath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1,7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D40392">
        <w:rPr>
          <w:rFonts w:eastAsiaTheme="minorEastAsia"/>
        </w:rPr>
        <w:t xml:space="preserve"> bei 25 °C.</w:t>
      </w:r>
    </w:p>
    <w:p w:rsidR="00C35F75" w:rsidRPr="00A570AC" w:rsidRDefault="00C35F75" w:rsidP="00C35F75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Der absolute Fehler liegt bei </w:t>
      </w:r>
      <m:oMath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4,09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-10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/</m:t>
        </m:r>
        <m:sSup>
          <m:sSupPr>
            <m:ctrlPr>
              <w:rPr>
                <w:rFonts w:ascii="Cambria Math" w:hAnsi="Cambria Math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rFonts w:eastAsiaTheme="minorEastAsia"/>
        </w:rPr>
        <w:t xml:space="preserve"> und der relative Fehler b</w:t>
      </w:r>
      <w:proofErr w:type="spellStart"/>
      <w:r>
        <w:rPr>
          <w:rFonts w:eastAsiaTheme="minorEastAsia"/>
        </w:rPr>
        <w:t>e</w:t>
      </w:r>
      <w:r>
        <w:rPr>
          <w:rFonts w:eastAsiaTheme="minorEastAsia"/>
        </w:rPr>
        <w:t>trägt</w:t>
      </w:r>
      <w:proofErr w:type="spellEnd"/>
      <w:r>
        <w:rPr>
          <w:rFonts w:eastAsiaTheme="minorEastAsia"/>
        </w:rPr>
        <w:t xml:space="preserve"> 240 %. Mögliche Temperaturunterschiede könnten der Grund dafür sein, dass sich die Werte unterscheiden. </w:t>
      </w:r>
    </w:p>
    <w:p w:rsidR="00C35F75" w:rsidRDefault="00C35F75" w:rsidP="00C35F75">
      <w:pPr>
        <w:spacing w:line="276" w:lineRule="auto"/>
        <w:ind w:left="2124" w:hanging="2124"/>
        <w:jc w:val="left"/>
      </w:pPr>
      <w:r>
        <w:t xml:space="preserve">Entsorgung:          </w:t>
      </w:r>
      <w:r>
        <w:tab/>
        <w:t>Die Entsorgung der Lösungen erfolgt in den anorganischen Abfall mit Schwermetallen.</w:t>
      </w:r>
    </w:p>
    <w:p w:rsidR="00C35F75" w:rsidRDefault="00C35F75" w:rsidP="00C35F75">
      <w:pPr>
        <w:pStyle w:val="Literaturverzeichnis"/>
        <w:ind w:left="2124" w:hanging="2124"/>
        <w:rPr>
          <w:noProof/>
        </w:rPr>
      </w:pPr>
      <w:r>
        <w:t>Literatur:</w:t>
      </w:r>
      <w:r>
        <w:tab/>
      </w:r>
      <w:r>
        <w:rPr>
          <w:noProof/>
        </w:rPr>
        <w:t>Göbel, K. (26. Oktober 1994). Das chemische Gleichgewicht. (C. i. Schule, Hrsg.) Marburg.</w:t>
      </w:r>
    </w:p>
    <w:p w:rsidR="00C35F75" w:rsidRDefault="00C35F75" w:rsidP="00C35F7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C38E57A" wp14:editId="4DC84419">
                <wp:extent cx="5873115" cy="791845"/>
                <wp:effectExtent l="13970" t="12065" r="8890" b="15240"/>
                <wp:docPr id="3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18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5F75" w:rsidRPr="00A570AC" w:rsidRDefault="00C35F75" w:rsidP="00C35F75">
                            <w:pPr>
                              <w:rPr>
                                <w:color w:val="auto"/>
                              </w:rPr>
                            </w:pPr>
                            <w:r w:rsidRPr="00FC4CA2">
                              <w:rPr>
                                <w:b/>
                                <w:color w:val="auto"/>
                              </w:rPr>
                              <w:t>Anmerkungen</w:t>
                            </w:r>
                            <w:r w:rsidRPr="00FC4CA2">
                              <w:rPr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color w:val="auto"/>
                              </w:rPr>
                              <w:t xml:space="preserve"> Die Schüler_innen sollten hierbei über Kenntnisse der Funktionsweise einer galvanischen Zelle verfügen und 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Nernst‘sche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Gleichung anwenden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8" type="#_x0000_t202" style="width:462.4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C35F75" w:rsidRPr="00A570AC" w:rsidRDefault="00C35F75" w:rsidP="00C35F75">
                      <w:pPr>
                        <w:rPr>
                          <w:color w:val="auto"/>
                        </w:rPr>
                      </w:pPr>
                      <w:r w:rsidRPr="00FC4CA2">
                        <w:rPr>
                          <w:b/>
                          <w:color w:val="auto"/>
                        </w:rPr>
                        <w:t>Anmerkungen</w:t>
                      </w:r>
                      <w:r w:rsidRPr="00FC4CA2">
                        <w:rPr>
                          <w:color w:val="auto"/>
                        </w:rPr>
                        <w:t>:</w:t>
                      </w:r>
                      <w:r>
                        <w:rPr>
                          <w:color w:val="auto"/>
                        </w:rPr>
                        <w:t xml:space="preserve"> Die Schüler_innen sollten hierbei über Kenntnisse der Funktionsweise einer galvanischen Zelle verfügen und die </w:t>
                      </w:r>
                      <w:proofErr w:type="spellStart"/>
                      <w:r>
                        <w:rPr>
                          <w:color w:val="auto"/>
                        </w:rPr>
                        <w:t>Nernst‘sche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Gleichung anwenden können.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5660" w:rsidRDefault="00BA5E9E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75"/>
    <w:rsid w:val="001B7B06"/>
    <w:rsid w:val="00531888"/>
    <w:rsid w:val="00663385"/>
    <w:rsid w:val="00691927"/>
    <w:rsid w:val="00BA5E9E"/>
    <w:rsid w:val="00C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F7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F7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5F7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5F7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F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F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F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F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F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F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F7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5F7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5F7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F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35F75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5F75"/>
    <w:rPr>
      <w:color w:val="0000FF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C35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F75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F7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5F7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5F7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5F7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5F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5F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5F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5F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5F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5F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F7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5F7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5F7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5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5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5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5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5F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5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35F75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35F75"/>
    <w:rPr>
      <w:color w:val="0000FF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C35F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F7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2296</Characters>
  <Application>Microsoft Office Word</Application>
  <DocSecurity>0</DocSecurity>
  <Lines>19</Lines>
  <Paragraphs>5</Paragraphs>
  <ScaleCrop>false</ScaleCrop>
  <Company>Office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3</cp:revision>
  <dcterms:created xsi:type="dcterms:W3CDTF">2015-08-27T15:55:00Z</dcterms:created>
  <dcterms:modified xsi:type="dcterms:W3CDTF">2015-08-27T16:33:00Z</dcterms:modified>
</cp:coreProperties>
</file>