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BD" w:rsidRDefault="00F45DBD" w:rsidP="00F45DBD">
      <w:pPr>
        <w:pStyle w:val="berschrift2"/>
        <w:numPr>
          <w:ilvl w:val="0"/>
          <w:numId w:val="0"/>
        </w:numPr>
        <w:ind w:left="576" w:hanging="576"/>
      </w:pPr>
      <w:bookmarkStart w:id="0" w:name="_Toc427503703"/>
      <w:bookmarkStart w:id="1" w:name="_GoBack"/>
      <w:r>
        <w:t xml:space="preserve">Abhängigkeit des Löslichkeitsprodukts bei Zugabe von gleich- und </w:t>
      </w:r>
      <w:proofErr w:type="spellStart"/>
      <w:r>
        <w:t>fremdion</w:t>
      </w:r>
      <w:r>
        <w:t>i</w:t>
      </w:r>
      <w:r>
        <w:t>gen</w:t>
      </w:r>
      <w:proofErr w:type="spellEnd"/>
      <w:r>
        <w:t xml:space="preserve"> Zusätzen</w:t>
      </w:r>
      <w:bookmarkEnd w:id="0"/>
      <w:bookmarkEnd w:id="1"/>
    </w:p>
    <w:p w:rsidR="00F45DBD" w:rsidRDefault="00F45DBD" w:rsidP="00F45DBD">
      <w:pPr>
        <w:pStyle w:val="berschrift2"/>
        <w:numPr>
          <w:ilvl w:val="0"/>
          <w:numId w:val="0"/>
        </w:numPr>
      </w:pPr>
      <w:r>
        <w:t xml:space="preserve"> </w:t>
      </w:r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F45DBD" w:rsidTr="00A62447">
        <w:tc>
          <w:tcPr>
            <w:tcW w:w="9315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F45DBD" w:rsidRDefault="00F45DBD" w:rsidP="00A6244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45DBD" w:rsidTr="00A62447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F45DBD" w:rsidRDefault="00F45DBD" w:rsidP="00A62447">
            <w:pPr>
              <w:spacing w:after="0"/>
              <w:jc w:val="center"/>
            </w:pPr>
            <w:r>
              <w:t>--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F45DBD" w:rsidRDefault="00F45DBD" w:rsidP="00A62447">
            <w:pPr>
              <w:spacing w:after="0"/>
              <w:jc w:val="center"/>
            </w:pPr>
            <w:r>
              <w:t>--</w:t>
            </w:r>
          </w:p>
        </w:tc>
      </w:tr>
      <w:tr w:rsidR="00F45DBD" w:rsidTr="00A62447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Perchlorsäure</w:t>
            </w:r>
            <w:proofErr w:type="spellEnd"/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272-314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260-280-303+361+353-305+351+338-310</w:t>
            </w:r>
          </w:p>
        </w:tc>
      </w:tr>
      <w:tr w:rsidR="00F45DBD" w:rsidTr="00A62447">
        <w:trPr>
          <w:trHeight w:val="437"/>
        </w:trPr>
        <w:tc>
          <w:tcPr>
            <w:tcW w:w="302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</w:tcPr>
          <w:p w:rsidR="00F45DBD" w:rsidRDefault="00F45DBD" w:rsidP="00A6244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Kaliumperchlorat</w:t>
            </w:r>
          </w:p>
        </w:tc>
        <w:tc>
          <w:tcPr>
            <w:tcW w:w="3174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F45DBD" w:rsidRDefault="00F45DBD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H:271-302</w:t>
            </w:r>
          </w:p>
        </w:tc>
        <w:tc>
          <w:tcPr>
            <w:tcW w:w="3115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F45DBD" w:rsidRPr="002A6B5E" w:rsidRDefault="00F45DBD" w:rsidP="00A62447">
            <w:pPr>
              <w:spacing w:after="0"/>
              <w:jc w:val="center"/>
              <w:rPr>
                <w:sz w:val="20"/>
                <w:szCs w:val="20"/>
              </w:rPr>
            </w:pPr>
            <w:r w:rsidRPr="002A6B5E">
              <w:rPr>
                <w:sz w:val="20"/>
                <w:szCs w:val="20"/>
              </w:rPr>
              <w:t xml:space="preserve">P: </w:t>
            </w:r>
            <w:r w:rsidRPr="00A844E8">
              <w:rPr>
                <w:sz w:val="20"/>
                <w:szCs w:val="20"/>
              </w:rPr>
              <w:t>220</w:t>
            </w:r>
          </w:p>
        </w:tc>
      </w:tr>
      <w:tr w:rsidR="00F45DBD" w:rsidTr="00A62447">
        <w:trPr>
          <w:trHeight w:val="434"/>
        </w:trPr>
        <w:tc>
          <w:tcPr>
            <w:tcW w:w="3026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</w:tcPr>
          <w:p w:rsidR="00F45DBD" w:rsidRDefault="00F45DBD" w:rsidP="00A6244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Natriumsulfat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DBD" w:rsidRDefault="00F45DBD" w:rsidP="00A62447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:rsidR="00F45DBD" w:rsidRDefault="00F45DBD" w:rsidP="00A62447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F45DBD" w:rsidTr="00A6244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7E4DC59" wp14:editId="71E5FA27">
                  <wp:extent cx="504825" cy="504825"/>
                  <wp:effectExtent l="0" t="0" r="9525" b="952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415D0F" wp14:editId="449BEC67">
                  <wp:extent cx="504825" cy="504825"/>
                  <wp:effectExtent l="0" t="0" r="9525" b="9525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A1B237" wp14:editId="2E3EC26C">
                  <wp:extent cx="504825" cy="50482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1413E2" wp14:editId="774B9652">
                  <wp:extent cx="504825" cy="504825"/>
                  <wp:effectExtent l="0" t="0" r="9525" b="9525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5B9B3C0" wp14:editId="103176DD">
                  <wp:extent cx="504825" cy="504825"/>
                  <wp:effectExtent l="0" t="0" r="9525" b="9525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D415815" wp14:editId="1EDCE364">
                  <wp:extent cx="504825" cy="504825"/>
                  <wp:effectExtent l="0" t="0" r="9525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CD79765" wp14:editId="35D7DA9A">
                  <wp:extent cx="504825" cy="504825"/>
                  <wp:effectExtent l="0" t="0" r="9525" b="9525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2B242D" wp14:editId="10178993">
                  <wp:extent cx="514350" cy="51435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F45DBD" w:rsidRDefault="00F45DBD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471513" wp14:editId="5D005AEF">
                  <wp:extent cx="504825" cy="504825"/>
                  <wp:effectExtent l="0" t="0" r="9525" b="9525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Reagenzglasständer, 10 </w:t>
      </w:r>
      <w:proofErr w:type="spellStart"/>
      <w:r>
        <w:t>mL</w:t>
      </w:r>
      <w:proofErr w:type="spellEnd"/>
      <w:r>
        <w:t xml:space="preserve"> Pipette mit </w:t>
      </w:r>
      <w:proofErr w:type="spellStart"/>
      <w:r>
        <w:t>Peleusball</w:t>
      </w:r>
      <w:proofErr w:type="spellEnd"/>
      <w:r>
        <w:t xml:space="preserve">, </w:t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Kaliumchlorid, </w:t>
      </w:r>
      <w:proofErr w:type="spellStart"/>
      <w:r>
        <w:t>Perchlorsäure</w:t>
      </w:r>
      <w:proofErr w:type="spellEnd"/>
      <w:r>
        <w:t>, Natriumsulfat, Wasser</w:t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  <w:t>Zu einem Gemisch aus je 2,5 </w:t>
      </w:r>
      <w:proofErr w:type="spellStart"/>
      <w:r>
        <w:t>mL</w:t>
      </w:r>
      <w:proofErr w:type="spellEnd"/>
      <w:r>
        <w:t xml:space="preserve"> der Lösungen </w:t>
      </w:r>
      <w:r w:rsidRPr="004C4149">
        <w:t>X</w:t>
      </w:r>
      <w:r>
        <w:rPr>
          <w:vertAlign w:val="subscript"/>
        </w:rPr>
        <w:t>3</w:t>
      </w:r>
      <w:r>
        <w:t xml:space="preserve"> und </w:t>
      </w:r>
      <w:r w:rsidRPr="004C4149">
        <w:t>Y</w:t>
      </w:r>
      <w:r>
        <w:rPr>
          <w:vertAlign w:val="subscript"/>
        </w:rPr>
        <w:t>3</w:t>
      </w:r>
      <w:r>
        <w:t xml:space="preserve"> der in V1 herg</w:t>
      </w:r>
      <w:r>
        <w:t>e</w:t>
      </w:r>
      <w:r>
        <w:t>stellten Lösungen wird 1 </w:t>
      </w:r>
      <w:proofErr w:type="spellStart"/>
      <w:r>
        <w:t>mL</w:t>
      </w:r>
      <w:proofErr w:type="spellEnd"/>
      <w:r>
        <w:t xml:space="preserve"> einer gesättigten </w:t>
      </w:r>
      <w:proofErr w:type="spellStart"/>
      <w:r>
        <w:t>Kaliumchloridlösung</w:t>
      </w:r>
      <w:proofErr w:type="spellEnd"/>
      <w:r>
        <w:t xml:space="preserve"> geg</w:t>
      </w:r>
      <w:r>
        <w:t>e</w:t>
      </w:r>
      <w:r>
        <w:t xml:space="preserve">ben. Hierzu wird solang Kaliumchlorid in </w:t>
      </w:r>
      <w:proofErr w:type="spellStart"/>
      <w:r>
        <w:t>dest</w:t>
      </w:r>
      <w:proofErr w:type="spellEnd"/>
      <w:r>
        <w:t>. Wasser gelöst bis sich ein Bodenkörper bildet. Die gesättigte Lösung wird filtriert und aus dem Filtrat wird 1 </w:t>
      </w:r>
      <w:proofErr w:type="spellStart"/>
      <w:r>
        <w:t>mL</w:t>
      </w:r>
      <w:proofErr w:type="spellEnd"/>
      <w:r>
        <w:t xml:space="preserve"> dem Gemisch </w:t>
      </w:r>
      <w:r w:rsidRPr="004C4149">
        <w:t>X</w:t>
      </w:r>
      <w:r>
        <w:rPr>
          <w:vertAlign w:val="subscript"/>
        </w:rPr>
        <w:t>3</w:t>
      </w:r>
      <w:r w:rsidRPr="004C4149">
        <w:t>Y</w:t>
      </w:r>
      <w:r>
        <w:rPr>
          <w:vertAlign w:val="subscript"/>
        </w:rPr>
        <w:t>3</w:t>
      </w:r>
      <w:r>
        <w:t xml:space="preserve"> zugegeben und die Beobachtung festgehalten.</w:t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In ein weiteres Gemisch aus je 5 </w:t>
      </w:r>
      <w:proofErr w:type="spellStart"/>
      <w:r>
        <w:t>mL</w:t>
      </w:r>
      <w:proofErr w:type="spellEnd"/>
      <w:r>
        <w:t xml:space="preserve"> </w:t>
      </w:r>
      <w:r w:rsidRPr="004C4149">
        <w:t>X</w:t>
      </w:r>
      <w:r>
        <w:rPr>
          <w:vertAlign w:val="subscript"/>
        </w:rPr>
        <w:t>1</w:t>
      </w:r>
      <w:r>
        <w:t xml:space="preserve"> und </w:t>
      </w:r>
      <w:r w:rsidRPr="004C4149">
        <w:t>Y</w:t>
      </w:r>
      <w:r>
        <w:rPr>
          <w:vertAlign w:val="subscript"/>
        </w:rPr>
        <w:t>1</w:t>
      </w:r>
      <w:r>
        <w:t xml:space="preserve"> wird eine Spatelspitze Natr</w:t>
      </w:r>
      <w:r>
        <w:t>i</w:t>
      </w:r>
      <w:r>
        <w:t xml:space="preserve">umsulfat gegeben und die Veränderung beobachtet. </w:t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Nach Zugabe der gesättigten </w:t>
      </w:r>
      <w:proofErr w:type="spellStart"/>
      <w:r>
        <w:t>Kaliumchloridlösung</w:t>
      </w:r>
      <w:proofErr w:type="spellEnd"/>
      <w:r>
        <w:t xml:space="preserve"> fällt im Gemisch ein Ni</w:t>
      </w:r>
      <w:r>
        <w:t>e</w:t>
      </w:r>
      <w:r>
        <w:t>derschlag aus. In dem Gemisch fällt auch ein Niederschlag nach Zugabe von Natriumsulfat, dieser Niederschlag ist jedoch geringer als ohne Natriumsu</w:t>
      </w:r>
      <w:r>
        <w:t>l</w:t>
      </w:r>
      <w:r>
        <w:t>fat-Zugabe.</w:t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6C2B763E" wp14:editId="5A640B47">
            <wp:simplePos x="0" y="0"/>
            <wp:positionH relativeFrom="column">
              <wp:posOffset>690880</wp:posOffset>
            </wp:positionH>
            <wp:positionV relativeFrom="paragraph">
              <wp:posOffset>72390</wp:posOffset>
            </wp:positionV>
            <wp:extent cx="1666875" cy="2171700"/>
            <wp:effectExtent l="0" t="0" r="9525" b="0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7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687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4B118C11" wp14:editId="7B3749E1">
            <wp:simplePos x="0" y="0"/>
            <wp:positionH relativeFrom="column">
              <wp:posOffset>3100704</wp:posOffset>
            </wp:positionH>
            <wp:positionV relativeFrom="paragraph">
              <wp:posOffset>91440</wp:posOffset>
            </wp:positionV>
            <wp:extent cx="2181225" cy="2150110"/>
            <wp:effectExtent l="0" t="0" r="9525" b="2540"/>
            <wp:wrapNone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33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1225" cy="215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6350</wp:posOffset>
                </wp:positionV>
                <wp:extent cx="4591050" cy="466725"/>
                <wp:effectExtent l="0" t="0" r="0" b="9525"/>
                <wp:wrapNone/>
                <wp:docPr id="60" name="Textfeld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DBD" w:rsidRPr="00A14A8B" w:rsidRDefault="00F45DBD" w:rsidP="00F45D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4A8B">
                              <w:rPr>
                                <w:sz w:val="18"/>
                                <w:szCs w:val="18"/>
                              </w:rPr>
                              <w:t>Abb. 2 Lösung X</w:t>
                            </w:r>
                            <w:r w:rsidRPr="00A14A8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A14A8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nach Zugabe von </w:t>
                            </w:r>
                            <w:proofErr w:type="spellStart"/>
                            <w:r w:rsidRPr="00A14A8B">
                              <w:rPr>
                                <w:sz w:val="18"/>
                                <w:szCs w:val="18"/>
                              </w:rPr>
                              <w:t>Kaliumchloridlösung</w:t>
                            </w:r>
                            <w:proofErr w:type="spellEnd"/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(links). Lösung X</w:t>
                            </w:r>
                            <w:r w:rsidRPr="00A14A8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und Y</w:t>
                            </w:r>
                            <w:r w:rsidRPr="00A14A8B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A14A8B">
                              <w:rPr>
                                <w:sz w:val="18"/>
                                <w:szCs w:val="18"/>
                              </w:rPr>
                              <w:t xml:space="preserve"> vor und nach Zugabe von Natriumsulfat (rechts).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Der Niederschlag hat sich verringert.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0" o:spid="_x0000_s1026" type="#_x0000_t202" style="position:absolute;left:0;text-align:left;margin-left:54.4pt;margin-top:.5pt;width:361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" stroked="f">
                <v:textbox>
                  <w:txbxContent>
                    <w:p w:rsidR="00F45DBD" w:rsidRPr="00A14A8B" w:rsidRDefault="00F45DBD" w:rsidP="00F45DBD">
                      <w:pPr>
                        <w:rPr>
                          <w:sz w:val="18"/>
                          <w:szCs w:val="18"/>
                        </w:rPr>
                      </w:pPr>
                      <w:r w:rsidRPr="00A14A8B">
                        <w:rPr>
                          <w:sz w:val="18"/>
                          <w:szCs w:val="18"/>
                        </w:rPr>
                        <w:t>Abb. 2 Lösung X</w:t>
                      </w:r>
                      <w:r w:rsidRPr="00A14A8B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A14A8B">
                        <w:rPr>
                          <w:sz w:val="18"/>
                          <w:szCs w:val="18"/>
                        </w:rPr>
                        <w:t>Y</w:t>
                      </w:r>
                      <w:r w:rsidRPr="00A14A8B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 nach Zugabe von </w:t>
                      </w:r>
                      <w:proofErr w:type="spellStart"/>
                      <w:r w:rsidRPr="00A14A8B">
                        <w:rPr>
                          <w:sz w:val="18"/>
                          <w:szCs w:val="18"/>
                        </w:rPr>
                        <w:t>Kaliumchloridlösung</w:t>
                      </w:r>
                      <w:proofErr w:type="spellEnd"/>
                      <w:r w:rsidRPr="00A14A8B">
                        <w:rPr>
                          <w:sz w:val="18"/>
                          <w:szCs w:val="18"/>
                        </w:rPr>
                        <w:t xml:space="preserve"> (links). Lösung X</w:t>
                      </w:r>
                      <w:r w:rsidRPr="00A14A8B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 und Y</w:t>
                      </w:r>
                      <w:r w:rsidRPr="00A14A8B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A14A8B">
                        <w:rPr>
                          <w:sz w:val="18"/>
                          <w:szCs w:val="18"/>
                        </w:rPr>
                        <w:t xml:space="preserve"> vor und nach Zugabe von Natriumsulfat (rechts).</w:t>
                      </w:r>
                      <w:r>
                        <w:rPr>
                          <w:sz w:val="18"/>
                          <w:szCs w:val="18"/>
                        </w:rPr>
                        <w:t xml:space="preserve"> Der Niederschlag hat sich verringert.</w:t>
                      </w:r>
                    </w:p>
                  </w:txbxContent>
                </v:textbox>
              </v:shape>
            </w:pict>
          </mc:Fallback>
        </mc:AlternateContent>
      </w: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</w:p>
    <w:p w:rsidR="00F45DBD" w:rsidRDefault="00F45DBD" w:rsidP="00F45DB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Bei Kaliumchlorid handelt es sich um eine </w:t>
      </w:r>
      <w:proofErr w:type="spellStart"/>
      <w:r>
        <w:t>gleichionige</w:t>
      </w:r>
      <w:proofErr w:type="spellEnd"/>
      <w:r>
        <w:t xml:space="preserve"> Zugabe. Durch die Erhöhung der Chlorid-Ionenkonzentration wird das Löslichkeitsprodukt überschritten. Das chemische Gleichgewicht verschiebt sich daher in Ric</w:t>
      </w:r>
      <w:r>
        <w:t>h</w:t>
      </w:r>
      <w:r>
        <w:t xml:space="preserve">tung des Produkts (Kaliumperchlorat) bis sich das Löslichkeitsprodukt wieder einstellt. </w:t>
      </w:r>
    </w:p>
    <w:p w:rsidR="00F45DBD" w:rsidRPr="00F27BB9" w:rsidRDefault="00F45DBD" w:rsidP="00F45DB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  <w:t xml:space="preserve">Im Gegensatz dazu handelt es sich bei Natriumsulfat um eine </w:t>
      </w:r>
      <w:proofErr w:type="spellStart"/>
      <w:r>
        <w:t>fremdionige</w:t>
      </w:r>
      <w:proofErr w:type="spellEnd"/>
      <w:r>
        <w:t xml:space="preserve"> Zugabe. Hierbei wird die Gesamtkonzentration der Ionen erhöht und es liegt keine ideale Lösung mehr vor. Um das Ionenprodukt genau besti</w:t>
      </w:r>
      <w:r>
        <w:t>m</w:t>
      </w:r>
      <w:r>
        <w:t>men zu können muss die Konzentrationen durch die Aktivitäten ersetzt werden.</w:t>
      </w:r>
    </w:p>
    <w:p w:rsidR="00F45DBD" w:rsidRDefault="00F45DBD" w:rsidP="00F45DBD">
      <w:pPr>
        <w:ind w:left="2126" w:hanging="2126"/>
        <w:jc w:val="left"/>
      </w:pPr>
      <w:r>
        <w:t xml:space="preserve">Entsorgung:          </w:t>
      </w:r>
      <w:r>
        <w:tab/>
        <w:t xml:space="preserve">Die Lösungen werden vermischt und mit </w:t>
      </w:r>
      <w:proofErr w:type="spellStart"/>
      <w:r>
        <w:t>Kaliumchloridlösung</w:t>
      </w:r>
      <w:proofErr w:type="spellEnd"/>
      <w:r>
        <w:t xml:space="preserve"> gefällt. Der Rückstand wird im Feststoff-Abfall entsorgt. Das Filtrat mit viel Wasser in den Ausguss gegeben.</w:t>
      </w:r>
    </w:p>
    <w:p w:rsidR="00F45DBD" w:rsidRDefault="00F45DBD" w:rsidP="00F45DBD">
      <w:pPr>
        <w:pStyle w:val="Literaturverzeichnis"/>
        <w:ind w:left="2124" w:hanging="2079"/>
        <w:rPr>
          <w:noProof/>
        </w:rPr>
      </w:pPr>
      <w:r w:rsidRPr="0097613F">
        <w:t>Litera</w:t>
      </w:r>
      <w:r>
        <w:t>tur:</w:t>
      </w:r>
      <w:r>
        <w:tab/>
        <w:t xml:space="preserve">[1] </w:t>
      </w:r>
      <w:r>
        <w:rPr>
          <w:noProof/>
        </w:rPr>
        <w:t>Endersch, J. Abgerufen am 12. August 2015 von h</w:t>
      </w:r>
      <w:r w:rsidRPr="00F43F3A">
        <w:rPr>
          <w:noProof/>
        </w:rPr>
        <w:t>ttp://www.jonas-e</w:t>
      </w:r>
      <w:r>
        <w:rPr>
          <w:noProof/>
        </w:rPr>
        <w:t>.de/wp-content/uploads/2010/10/A1-Schaetzung-eines-Loeslichkeitsprodukts.pdf</w:t>
      </w:r>
    </w:p>
    <w:p w:rsidR="00F45DBD" w:rsidRDefault="00F45DBD" w:rsidP="00F45DBD">
      <w:pPr>
        <w:pStyle w:val="Literaturverzeichnis"/>
        <w:ind w:left="1428" w:firstLine="696"/>
        <w:rPr>
          <w:noProof/>
        </w:rPr>
      </w:pPr>
      <w:r>
        <w:rPr>
          <w:noProof/>
        </w:rPr>
        <w:t xml:space="preserve">[2] Mortimer, C., &amp; Müller, U. (2007). </w:t>
      </w:r>
      <w:r>
        <w:rPr>
          <w:i/>
          <w:iCs/>
          <w:noProof/>
        </w:rPr>
        <w:t>Chemie.</w:t>
      </w:r>
      <w:r>
        <w:rPr>
          <w:noProof/>
        </w:rPr>
        <w:t xml:space="preserve"> Stuttgart : Thieme Verlag.</w:t>
      </w:r>
    </w:p>
    <w:p w:rsidR="00555660" w:rsidRDefault="00F45DBD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BD"/>
    <w:rsid w:val="001B7B06"/>
    <w:rsid w:val="00531888"/>
    <w:rsid w:val="00663385"/>
    <w:rsid w:val="00691927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5DB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5DB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5DB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5DB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DB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5D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5D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5D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5D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5D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5DB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5DB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5DB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D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5D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5D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5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5D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5D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5DBD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F45D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DBD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5DB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5DB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5DB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5DB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5DB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5DB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5DB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5DB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5DB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5DB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5DB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5DB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5DB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5D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5D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5D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5D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5D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5D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45DBD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F45D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DBD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F1D9-7FEE-423F-A86A-89DCF2CB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2015-08-27T16:11:00Z</dcterms:created>
  <dcterms:modified xsi:type="dcterms:W3CDTF">2015-08-27T16:12:00Z</dcterms:modified>
</cp:coreProperties>
</file>