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A6" w:rsidRDefault="006230A6" w:rsidP="006230A6">
      <w:pPr>
        <w:pStyle w:val="berschrift2"/>
      </w:pPr>
      <w:r>
        <w:t>– Superabsorber</w:t>
      </w:r>
    </w:p>
    <w:p w:rsidR="006230A6" w:rsidRPr="00CF1B57" w:rsidRDefault="006230A6" w:rsidP="006230A6">
      <w:pPr>
        <w:rPr>
          <w:sz w:val="6"/>
          <w:szCs w:val="6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230A6" w:rsidRPr="009C5E28" w:rsidTr="00400119">
        <w:tc>
          <w:tcPr>
            <w:tcW w:w="9322" w:type="dxa"/>
            <w:gridSpan w:val="9"/>
            <w:shd w:val="clear" w:color="auto" w:fill="4F81BD"/>
            <w:vAlign w:val="center"/>
          </w:tcPr>
          <w:p w:rsidR="006230A6" w:rsidRPr="00F31EBF" w:rsidRDefault="006230A6" w:rsidP="0040011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Keine </w:t>
            </w: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230A6" w:rsidRPr="009C5E28" w:rsidTr="0040011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230A6" w:rsidRPr="009C5E28" w:rsidRDefault="006230A6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0A6" w:rsidRPr="00DC161D" w:rsidRDefault="006230A6" w:rsidP="006230A6">
      <w:pPr>
        <w:tabs>
          <w:tab w:val="left" w:pos="1701"/>
          <w:tab w:val="left" w:pos="1985"/>
        </w:tabs>
        <w:ind w:left="1980" w:hanging="1980"/>
        <w:rPr>
          <w:sz w:val="12"/>
          <w:szCs w:val="12"/>
        </w:rPr>
      </w:pPr>
    </w:p>
    <w:p w:rsidR="006230A6" w:rsidRPr="00340A7E" w:rsidRDefault="006230A6" w:rsidP="006230A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Messzylinder</w:t>
      </w:r>
    </w:p>
    <w:p w:rsidR="006230A6" w:rsidRPr="00ED07C2" w:rsidRDefault="006230A6" w:rsidP="006230A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Damenbinde, Damentampon</w:t>
      </w:r>
    </w:p>
    <w:p w:rsidR="006230A6" w:rsidRDefault="006230A6" w:rsidP="006230A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Beide Hygieneartikel werden trocken gewogen. Dann wird so viel Wasser auf sie getropft wie sie es aufnehmen können. Danach wird erneut gew</w:t>
      </w:r>
      <w:r>
        <w:t>o</w:t>
      </w:r>
      <w:r>
        <w:t xml:space="preserve">gen.  </w:t>
      </w:r>
    </w:p>
    <w:p w:rsidR="006230A6" w:rsidRDefault="006230A6" w:rsidP="006230A6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883920</wp:posOffset>
            </wp:positionV>
            <wp:extent cx="1896432" cy="2636952"/>
            <wp:effectExtent l="19050" t="19050" r="8890" b="0"/>
            <wp:wrapTopAndBottom/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G_8877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6432" cy="263695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5" o:spid="_x0000_s1026" type="#_x0000_t202" style="position:absolute;left:0;text-align:left;margin-left:60.8pt;margin-top:284.9pt;width:331.9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" stroked="f">
            <v:textbox style="mso-fit-shape-to-text:t" inset="0,0,0,0">
              <w:txbxContent>
                <w:p w:rsidR="006230A6" w:rsidRPr="002B1322" w:rsidRDefault="006230A6" w:rsidP="006230A6">
                  <w:pPr>
                    <w:pStyle w:val="Beschriftung"/>
                    <w:rPr>
                      <w:noProof/>
                      <w:color w:val="1D1B11" w:themeColor="background2" w:themeShade="1A"/>
                    </w:rPr>
                  </w:pPr>
                  <w:r>
                    <w:t xml:space="preserve">Abbildung </w:t>
                  </w:r>
                  <w:fldSimple w:instr=" SEQ Abbildung \* ARABIC ">
                    <w:r>
                      <w:rPr>
                        <w:noProof/>
                      </w:rPr>
                      <w:t>4</w:t>
                    </w:r>
                  </w:fldSimple>
                  <w:r>
                    <w:t xml:space="preserve">: Hygieneartikel nach der Aufnahme von Wasser in der maximalen Menge. </w:t>
                  </w:r>
                </w:p>
              </w:txbxContent>
            </v:textbox>
            <w10:wrap type="topAndBottom"/>
          </v:shape>
        </w:pict>
      </w:r>
      <w:r>
        <w:t>Beobachtung:</w:t>
      </w:r>
      <w:r>
        <w:tab/>
      </w:r>
      <w:r>
        <w:tab/>
      </w:r>
      <w:r>
        <w:tab/>
        <w:t>Die Damenbinde mit einem Gewicht von 2 g kann ein 15 g Wasser aufne</w:t>
      </w:r>
      <w:r>
        <w:t>h</w:t>
      </w:r>
      <w:r>
        <w:t xml:space="preserve">men während der Tampon mit einem Gewicht von 2,4 g eine Wassermasse von 16 g aufnehmen kann.     </w:t>
      </w:r>
    </w:p>
    <w:p w:rsidR="006230A6" w:rsidRDefault="006230A6" w:rsidP="006230A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lastRenderedPageBreak/>
        <w:t>Deutung:</w:t>
      </w:r>
      <w:r>
        <w:tab/>
      </w:r>
      <w:r>
        <w:tab/>
        <w:t xml:space="preserve">Beide Artikel beinhalten Superabsorber, deren Oberfläche groß ist und die das das Wasser zusätzlich über einen osmotischen Druck binden. Daher können sie ein Vielfaches ihres Eigengewichts aufnehmen.  </w:t>
      </w:r>
    </w:p>
    <w:p w:rsidR="006230A6" w:rsidRDefault="006230A6" w:rsidP="006230A6">
      <w:pPr>
        <w:jc w:val="left"/>
      </w:pPr>
      <w:r>
        <w:t>Entsorgung</w:t>
      </w:r>
      <w:r>
        <w:tab/>
        <w:t xml:space="preserve">           Die Entsorgung erfolgt über den Hausmüll.  </w:t>
      </w:r>
    </w:p>
    <w:p w:rsidR="006230A6" w:rsidRDefault="006230A6" w:rsidP="006230A6">
      <w:pPr>
        <w:jc w:val="left"/>
        <w:rPr>
          <w:rFonts w:asciiTheme="majorHAnsi" w:eastAsiaTheme="majorEastAsia" w:hAnsiTheme="majorHAnsi" w:cstheme="majorBidi"/>
          <w:b/>
          <w:bCs/>
          <w:szCs w:val="26"/>
        </w:rPr>
      </w:pPr>
    </w:p>
    <w:p w:rsidR="00190B79" w:rsidRDefault="00190B79"/>
    <w:sectPr w:rsidR="00190B79" w:rsidSect="00190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879624B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230A6"/>
    <w:rsid w:val="00190B79"/>
    <w:rsid w:val="0062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0A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0A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0A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30A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30A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30A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30A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30A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30A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30A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30A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0A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0A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30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30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0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0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0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230A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0A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2015-08-26T20:19:00Z</dcterms:created>
  <dcterms:modified xsi:type="dcterms:W3CDTF">2015-08-26T20:19:00Z</dcterms:modified>
</cp:coreProperties>
</file>