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06" w:rsidRPr="00243E06" w:rsidRDefault="00243E06" w:rsidP="00243E06">
      <w:pPr>
        <w:pStyle w:val="berschrift2"/>
        <w:numPr>
          <w:ilvl w:val="0"/>
          <w:numId w:val="0"/>
        </w:numPr>
        <w:ind w:left="576" w:hanging="576"/>
        <w:rPr>
          <w:rFonts w:ascii="Cambria" w:hAnsi="Cambria"/>
          <w:sz w:val="32"/>
          <w:szCs w:val="32"/>
        </w:rPr>
      </w:pPr>
      <w:bookmarkStart w:id="0" w:name="_GoBack"/>
      <w:bookmarkEnd w:id="0"/>
      <w:r>
        <w:rPr>
          <w:rFonts w:ascii="Cambria" w:hAnsi="Cambria"/>
          <w:sz w:val="32"/>
          <w:szCs w:val="32"/>
        </w:rPr>
        <w:t>pH</w:t>
      </w:r>
      <w:r w:rsidRPr="00243E06">
        <w:rPr>
          <w:rFonts w:ascii="Cambria" w:hAnsi="Cambria"/>
          <w:sz w:val="32"/>
          <w:szCs w:val="32"/>
        </w:rPr>
        <w:t xml:space="preserve"> – Abhängigkeit der Fluoreszenz</w:t>
      </w:r>
    </w:p>
    <w:tbl>
      <w:tblPr>
        <w:tblW w:w="9315" w:type="dxa"/>
        <w:tblLayout w:type="fixed"/>
        <w:tblCellMar>
          <w:left w:w="10" w:type="dxa"/>
          <w:right w:w="10" w:type="dxa"/>
        </w:tblCellMar>
        <w:tblLook w:val="04A0" w:firstRow="1" w:lastRow="0" w:firstColumn="1" w:lastColumn="0" w:noHBand="0" w:noVBand="1"/>
      </w:tblPr>
      <w:tblGrid>
        <w:gridCol w:w="1009"/>
        <w:gridCol w:w="1009"/>
        <w:gridCol w:w="1008"/>
        <w:gridCol w:w="1008"/>
        <w:gridCol w:w="1174"/>
        <w:gridCol w:w="992"/>
        <w:gridCol w:w="974"/>
        <w:gridCol w:w="1008"/>
        <w:gridCol w:w="1133"/>
      </w:tblGrid>
      <w:tr w:rsidR="00243E06" w:rsidTr="00D94605">
        <w:tc>
          <w:tcPr>
            <w:tcW w:w="9315" w:type="dxa"/>
            <w:gridSpan w:val="9"/>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rsidR="00243E06" w:rsidRDefault="00243E06" w:rsidP="00D94605">
            <w:pPr>
              <w:spacing w:after="0"/>
              <w:jc w:val="center"/>
              <w:rPr>
                <w:b/>
                <w:bCs/>
                <w:color w:val="FFFFFF"/>
              </w:rPr>
            </w:pPr>
            <w:r>
              <w:rPr>
                <w:b/>
                <w:bCs/>
                <w:color w:val="FFFFFF"/>
              </w:rPr>
              <w:t>Gefahrenstoffe</w:t>
            </w:r>
          </w:p>
        </w:tc>
      </w:tr>
      <w:tr w:rsidR="00243E06" w:rsidTr="00D94605">
        <w:trPr>
          <w:trHeight w:val="437"/>
        </w:trPr>
        <w:tc>
          <w:tcPr>
            <w:tcW w:w="3026" w:type="dxa"/>
            <w:gridSpan w:val="3"/>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rsidR="00243E06" w:rsidRPr="004B40FD" w:rsidRDefault="00243E06" w:rsidP="00D94605">
            <w:pPr>
              <w:spacing w:after="0" w:line="276" w:lineRule="auto"/>
              <w:jc w:val="center"/>
              <w:rPr>
                <w:color w:val="1D1B11"/>
                <w:sz w:val="20"/>
                <w:szCs w:val="20"/>
              </w:rPr>
            </w:pPr>
            <w:r>
              <w:rPr>
                <w:bCs/>
                <w:sz w:val="20"/>
                <w:szCs w:val="20"/>
              </w:rPr>
              <w:t>Fluorescein</w:t>
            </w:r>
          </w:p>
        </w:tc>
        <w:tc>
          <w:tcPr>
            <w:tcW w:w="3174" w:type="dxa"/>
            <w:gridSpan w:val="3"/>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Pr="004B40FD" w:rsidRDefault="00243E06" w:rsidP="00D94605">
            <w:pPr>
              <w:spacing w:after="0"/>
              <w:jc w:val="center"/>
              <w:rPr>
                <w:sz w:val="20"/>
                <w:szCs w:val="20"/>
              </w:rPr>
            </w:pPr>
            <w:r>
              <w:rPr>
                <w:sz w:val="20"/>
                <w:szCs w:val="20"/>
              </w:rPr>
              <w:t>H: 319</w:t>
            </w:r>
          </w:p>
        </w:tc>
        <w:tc>
          <w:tcPr>
            <w:tcW w:w="3115" w:type="dxa"/>
            <w:gridSpan w:val="3"/>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rsidR="00243E06" w:rsidRPr="004B40FD" w:rsidRDefault="00243E06" w:rsidP="00D94605">
            <w:pPr>
              <w:spacing w:after="0"/>
              <w:jc w:val="center"/>
              <w:rPr>
                <w:sz w:val="20"/>
                <w:szCs w:val="20"/>
              </w:rPr>
            </w:pPr>
            <w:r>
              <w:rPr>
                <w:sz w:val="20"/>
                <w:szCs w:val="20"/>
              </w:rPr>
              <w:t>P: 305+351+338</w:t>
            </w:r>
          </w:p>
        </w:tc>
      </w:tr>
      <w:tr w:rsidR="00243E06" w:rsidTr="00D94605">
        <w:trPr>
          <w:trHeight w:val="437"/>
        </w:trPr>
        <w:tc>
          <w:tcPr>
            <w:tcW w:w="3026" w:type="dxa"/>
            <w:gridSpan w:val="3"/>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tcPr>
          <w:p w:rsidR="00243E06" w:rsidRDefault="00243E06" w:rsidP="00D94605">
            <w:pPr>
              <w:spacing w:after="0" w:line="276" w:lineRule="auto"/>
              <w:jc w:val="center"/>
              <w:rPr>
                <w:bCs/>
                <w:sz w:val="20"/>
                <w:szCs w:val="20"/>
              </w:rPr>
            </w:pPr>
            <w:r>
              <w:rPr>
                <w:bCs/>
                <w:sz w:val="20"/>
                <w:szCs w:val="20"/>
              </w:rPr>
              <w:t>Natronlauge (w = 10%)</w:t>
            </w:r>
          </w:p>
        </w:tc>
        <w:tc>
          <w:tcPr>
            <w:tcW w:w="3174" w:type="dxa"/>
            <w:gridSpan w:val="3"/>
            <w:tcBorders>
              <w:top w:val="single" w:sz="8" w:space="0" w:color="4F81BD"/>
              <w:left w:val="nil"/>
              <w:bottom w:val="single" w:sz="8" w:space="0" w:color="4F81BD"/>
              <w:right w:val="nil"/>
            </w:tcBorders>
            <w:tcMar>
              <w:top w:w="0" w:type="dxa"/>
              <w:left w:w="108" w:type="dxa"/>
              <w:bottom w:w="0" w:type="dxa"/>
              <w:right w:w="108" w:type="dxa"/>
            </w:tcMar>
            <w:vAlign w:val="center"/>
          </w:tcPr>
          <w:p w:rsidR="00243E06" w:rsidRDefault="00243E06" w:rsidP="00D94605">
            <w:pPr>
              <w:spacing w:after="0"/>
              <w:jc w:val="center"/>
              <w:rPr>
                <w:sz w:val="20"/>
                <w:szCs w:val="20"/>
              </w:rPr>
            </w:pPr>
            <w:r>
              <w:rPr>
                <w:sz w:val="20"/>
                <w:szCs w:val="20"/>
              </w:rPr>
              <w:t>H: 314-290</w:t>
            </w:r>
          </w:p>
        </w:tc>
        <w:tc>
          <w:tcPr>
            <w:tcW w:w="3115" w:type="dxa"/>
            <w:gridSpan w:val="3"/>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tcPr>
          <w:p w:rsidR="00243E06" w:rsidRDefault="00243E06" w:rsidP="00D94605">
            <w:pPr>
              <w:spacing w:after="0"/>
              <w:jc w:val="center"/>
              <w:rPr>
                <w:sz w:val="20"/>
                <w:szCs w:val="20"/>
              </w:rPr>
            </w:pPr>
            <w:r>
              <w:rPr>
                <w:sz w:val="20"/>
                <w:szCs w:val="20"/>
              </w:rPr>
              <w:t>P: 280-301+330+331-305+351+338-308+310</w:t>
            </w:r>
          </w:p>
        </w:tc>
      </w:tr>
      <w:tr w:rsidR="00243E06" w:rsidTr="00D94605">
        <w:trPr>
          <w:trHeight w:val="437"/>
        </w:trPr>
        <w:tc>
          <w:tcPr>
            <w:tcW w:w="3026" w:type="dxa"/>
            <w:gridSpan w:val="3"/>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tcPr>
          <w:p w:rsidR="00243E06" w:rsidRDefault="00243E06" w:rsidP="00D94605">
            <w:pPr>
              <w:spacing w:after="0" w:line="276" w:lineRule="auto"/>
              <w:jc w:val="center"/>
              <w:rPr>
                <w:bCs/>
                <w:sz w:val="20"/>
                <w:szCs w:val="20"/>
              </w:rPr>
            </w:pPr>
            <w:r>
              <w:rPr>
                <w:bCs/>
                <w:sz w:val="20"/>
                <w:szCs w:val="20"/>
              </w:rPr>
              <w:t>Salzsäure (w= 10%)</w:t>
            </w:r>
          </w:p>
        </w:tc>
        <w:tc>
          <w:tcPr>
            <w:tcW w:w="3174" w:type="dxa"/>
            <w:gridSpan w:val="3"/>
            <w:tcBorders>
              <w:top w:val="single" w:sz="8" w:space="0" w:color="4F81BD"/>
              <w:left w:val="nil"/>
              <w:bottom w:val="single" w:sz="8" w:space="0" w:color="4F81BD"/>
              <w:right w:val="nil"/>
            </w:tcBorders>
            <w:tcMar>
              <w:top w:w="0" w:type="dxa"/>
              <w:left w:w="108" w:type="dxa"/>
              <w:bottom w:w="0" w:type="dxa"/>
              <w:right w:w="108" w:type="dxa"/>
            </w:tcMar>
            <w:vAlign w:val="center"/>
          </w:tcPr>
          <w:p w:rsidR="00243E06" w:rsidRDefault="00243E06" w:rsidP="00D94605">
            <w:pPr>
              <w:spacing w:after="0"/>
              <w:jc w:val="center"/>
              <w:rPr>
                <w:sz w:val="20"/>
                <w:szCs w:val="20"/>
              </w:rPr>
            </w:pPr>
            <w:r>
              <w:rPr>
                <w:sz w:val="20"/>
                <w:szCs w:val="20"/>
              </w:rPr>
              <w:t>H: 315-319-335-290</w:t>
            </w:r>
          </w:p>
        </w:tc>
        <w:tc>
          <w:tcPr>
            <w:tcW w:w="3115" w:type="dxa"/>
            <w:gridSpan w:val="3"/>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tcPr>
          <w:p w:rsidR="00243E06" w:rsidRDefault="00243E06" w:rsidP="00D94605">
            <w:pPr>
              <w:spacing w:after="0"/>
              <w:jc w:val="center"/>
              <w:rPr>
                <w:sz w:val="20"/>
                <w:szCs w:val="20"/>
              </w:rPr>
            </w:pPr>
            <w:r>
              <w:rPr>
                <w:sz w:val="20"/>
                <w:szCs w:val="20"/>
              </w:rPr>
              <w:t>P: 261-280-305+338+310-302+352-304+340</w:t>
            </w:r>
          </w:p>
        </w:tc>
      </w:tr>
      <w:tr w:rsidR="00243E06" w:rsidTr="00D94605">
        <w:tc>
          <w:tcPr>
            <w:tcW w:w="1009" w:type="dxa"/>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b/>
                <w:noProof/>
                <w:lang w:eastAsia="de-DE"/>
              </w:rPr>
              <w:drawing>
                <wp:inline distT="0" distB="0" distL="0" distR="0" wp14:anchorId="7EC83F36" wp14:editId="632DFF03">
                  <wp:extent cx="504825" cy="5048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769D14CA" wp14:editId="03338F82">
                  <wp:extent cx="504825" cy="50482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6C152718" wp14:editId="0289BEC2">
                  <wp:extent cx="504825" cy="5048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7967C668" wp14:editId="1D336AE3">
                  <wp:extent cx="504825" cy="5048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58984E9F" wp14:editId="660D0087">
                  <wp:extent cx="504825" cy="5048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1BDA21EC" wp14:editId="1A541D46">
                  <wp:extent cx="504825" cy="5048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27F3C54C" wp14:editId="4DE4B74C">
                  <wp:extent cx="504825" cy="50482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5A58AB69" wp14:editId="16B4BBF4">
                  <wp:extent cx="514350" cy="5143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3" w:type="dxa"/>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rsidR="00243E06" w:rsidRDefault="00243E06" w:rsidP="00D94605">
            <w:pPr>
              <w:spacing w:after="0"/>
              <w:jc w:val="center"/>
            </w:pPr>
            <w:r>
              <w:rPr>
                <w:noProof/>
                <w:lang w:eastAsia="de-DE"/>
              </w:rPr>
              <w:drawing>
                <wp:inline distT="0" distB="0" distL="0" distR="0" wp14:anchorId="2E9B4D31" wp14:editId="16ED2A91">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rsidR="00243E06" w:rsidRPr="00C64299" w:rsidRDefault="00243E06" w:rsidP="00243E06"/>
    <w:p w:rsidR="00243E06" w:rsidRDefault="00243E06" w:rsidP="00243E06">
      <w:pPr>
        <w:tabs>
          <w:tab w:val="left" w:pos="1701"/>
          <w:tab w:val="left" w:pos="1985"/>
        </w:tabs>
        <w:ind w:left="1980" w:hanging="1980"/>
      </w:pPr>
      <w:bookmarkStart w:id="1" w:name="_Toc425776595"/>
      <w:bookmarkEnd w:id="1"/>
      <w:r>
        <w:t xml:space="preserve">Materialien: </w:t>
      </w:r>
      <w:r>
        <w:tab/>
      </w:r>
      <w:r>
        <w:tab/>
        <w:t>3 Reagenzgläser, Reagenzglasständer, Spatel, UV-Lampe, Stopfen</w:t>
      </w:r>
    </w:p>
    <w:p w:rsidR="00243E06" w:rsidRPr="00ED07C2" w:rsidRDefault="00243E06" w:rsidP="00243E06">
      <w:pPr>
        <w:tabs>
          <w:tab w:val="left" w:pos="1701"/>
          <w:tab w:val="left" w:pos="1985"/>
        </w:tabs>
        <w:ind w:left="1980" w:hanging="1980"/>
      </w:pPr>
      <w:r>
        <w:t>Chemikalien:</w:t>
      </w:r>
      <w:r>
        <w:tab/>
      </w:r>
      <w:r>
        <w:tab/>
      </w:r>
      <w:r w:rsidRPr="00A5076E">
        <w:rPr>
          <w:bCs/>
          <w:szCs w:val="20"/>
        </w:rPr>
        <w:t>Salzsäure (w</w:t>
      </w:r>
      <w:r>
        <w:rPr>
          <w:bCs/>
          <w:szCs w:val="20"/>
        </w:rPr>
        <w:t xml:space="preserve"> </w:t>
      </w:r>
      <w:r w:rsidRPr="00A5076E">
        <w:rPr>
          <w:bCs/>
          <w:szCs w:val="20"/>
        </w:rPr>
        <w:t>= 10%), Natronlauge (w = 10%), Fluorescein, destilliertes Wasser</w:t>
      </w:r>
    </w:p>
    <w:p w:rsidR="00243E06" w:rsidRDefault="00243E06" w:rsidP="00243E06">
      <w:pPr>
        <w:tabs>
          <w:tab w:val="left" w:pos="1701"/>
          <w:tab w:val="left" w:pos="1985"/>
        </w:tabs>
        <w:ind w:left="1980" w:hanging="1980"/>
      </w:pPr>
      <w:r>
        <w:t xml:space="preserve">Durchführung: </w:t>
      </w:r>
      <w:r>
        <w:tab/>
      </w:r>
      <w:r>
        <w:tab/>
        <w:t xml:space="preserve">Einige wenige Körnchen Fluorescein werden jeweils in ein Reagenzglas gegeben und anschließend mit ca. 10 mL </w:t>
      </w:r>
      <w:proofErr w:type="spellStart"/>
      <w:r>
        <w:t>dest</w:t>
      </w:r>
      <w:proofErr w:type="spellEnd"/>
      <w:r>
        <w:t>. Wasser gelöst. Anschließend werden 5 mL Salzsäure in ein Reagenzglas und 5 mL Natronlauge in ein anderes Reagenzglas gegeben. Die dritte Lösung verbleibt als Vergleichsprobe. Anschließend werden alle Lösungen mit der UV-Lampe bestrahlt.</w:t>
      </w:r>
    </w:p>
    <w:p w:rsidR="00243E06" w:rsidRDefault="00243E06" w:rsidP="00243E06">
      <w:pPr>
        <w:tabs>
          <w:tab w:val="left" w:pos="1701"/>
          <w:tab w:val="left" w:pos="1985"/>
        </w:tabs>
        <w:ind w:left="1980" w:hanging="1980"/>
      </w:pPr>
      <w:r>
        <w:t>Beobachtung:</w:t>
      </w:r>
      <w:r>
        <w:tab/>
      </w:r>
      <w:r>
        <w:tab/>
        <w:t>Bei dem Reagenzglas mit der Salzsäure ist das Leuchten am schwächsten. Bei dem mit der Natronlauge ist die hellste Strahlung zu beobachten.</w:t>
      </w:r>
    </w:p>
    <w:p w:rsidR="00243E06" w:rsidRDefault="00243E06" w:rsidP="00243E06">
      <w:pPr>
        <w:tabs>
          <w:tab w:val="left" w:pos="1701"/>
          <w:tab w:val="left" w:pos="1985"/>
        </w:tabs>
        <w:ind w:left="1980" w:hanging="1980"/>
      </w:pPr>
    </w:p>
    <w:p w:rsidR="00243E06" w:rsidRPr="000832AB" w:rsidRDefault="00243E06" w:rsidP="00243E06">
      <w:pPr>
        <w:keepNext/>
        <w:tabs>
          <w:tab w:val="left" w:pos="1701"/>
          <w:tab w:val="left" w:pos="1985"/>
        </w:tabs>
        <w:ind w:left="2124"/>
        <w:rPr>
          <w:noProof/>
          <w:sz w:val="18"/>
        </w:rPr>
      </w:pPr>
      <w:r w:rsidRPr="000832AB">
        <w:rPr>
          <w:noProof/>
          <w:sz w:val="18"/>
          <w:lang w:eastAsia="de-DE"/>
        </w:rPr>
        <w:lastRenderedPageBreak/>
        <w:drawing>
          <wp:anchor distT="0" distB="0" distL="114300" distR="114300" simplePos="0" relativeHeight="251659264" behindDoc="0" locked="0" layoutInCell="1" allowOverlap="1" wp14:anchorId="2386C762" wp14:editId="049BB1C1">
            <wp:simplePos x="0" y="0"/>
            <wp:positionH relativeFrom="column">
              <wp:posOffset>1366354</wp:posOffset>
            </wp:positionH>
            <wp:positionV relativeFrom="paragraph">
              <wp:posOffset>340</wp:posOffset>
            </wp:positionV>
            <wp:extent cx="1698865" cy="2408555"/>
            <wp:effectExtent l="0" t="0" r="0" b="0"/>
            <wp:wrapTopAndBottom/>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4" cstate="print">
                      <a:extLst>
                        <a:ext uri="{28A0092B-C50C-407E-A947-70E740481C1C}">
                          <a14:useLocalDpi xmlns:a14="http://schemas.microsoft.com/office/drawing/2010/main"/>
                        </a:ext>
                      </a:extLst>
                    </a:blip>
                    <a:stretch>
                      <a:fillRect/>
                    </a:stretch>
                  </pic:blipFill>
                  <pic:spPr>
                    <a:xfrm>
                      <a:off x="0" y="0"/>
                      <a:ext cx="1698865" cy="2408555"/>
                    </a:xfrm>
                    <a:prstGeom prst="rect">
                      <a:avLst/>
                    </a:prstGeom>
                  </pic:spPr>
                </pic:pic>
              </a:graphicData>
            </a:graphic>
            <wp14:sizeRelH relativeFrom="page">
              <wp14:pctWidth>0</wp14:pctWidth>
            </wp14:sizeRelH>
            <wp14:sizeRelV relativeFrom="page">
              <wp14:pctHeight>0</wp14:pctHeight>
            </wp14:sizeRelV>
          </wp:anchor>
        </w:drawing>
      </w:r>
      <w:r w:rsidRPr="000832AB">
        <w:rPr>
          <w:sz w:val="18"/>
        </w:rPr>
        <w:t xml:space="preserve">Abb. </w:t>
      </w:r>
      <w:r w:rsidRPr="000832AB">
        <w:rPr>
          <w:sz w:val="18"/>
        </w:rPr>
        <w:fldChar w:fldCharType="begin"/>
      </w:r>
      <w:r w:rsidRPr="000832AB">
        <w:rPr>
          <w:sz w:val="18"/>
        </w:rPr>
        <w:instrText xml:space="preserve"> SEQ Abb. \* ARABIC </w:instrText>
      </w:r>
      <w:r w:rsidRPr="000832AB">
        <w:rPr>
          <w:sz w:val="18"/>
        </w:rPr>
        <w:fldChar w:fldCharType="separate"/>
      </w:r>
      <w:r>
        <w:rPr>
          <w:noProof/>
          <w:sz w:val="18"/>
        </w:rPr>
        <w:t>1</w:t>
      </w:r>
      <w:r w:rsidRPr="000832AB">
        <w:rPr>
          <w:noProof/>
          <w:sz w:val="18"/>
        </w:rPr>
        <w:fldChar w:fldCharType="end"/>
      </w:r>
      <w:r w:rsidR="00FE6F7B">
        <w:rPr>
          <w:noProof/>
          <w:sz w:val="18"/>
        </w:rPr>
        <w:t>:</w:t>
      </w:r>
      <w:r w:rsidRPr="000832AB">
        <w:rPr>
          <w:sz w:val="18"/>
        </w:rPr>
        <w:t xml:space="preserve"> </w:t>
      </w:r>
      <w:r w:rsidRPr="000832AB">
        <w:rPr>
          <w:noProof/>
          <w:sz w:val="18"/>
        </w:rPr>
        <w:t xml:space="preserve"> pH-Abhängigkeit der Fluoreszenz (vlnr Zugabe von: Natronlauge, Vergleichsprobe, Salzsäure)</w:t>
      </w:r>
    </w:p>
    <w:p w:rsidR="00243E06" w:rsidRDefault="00243E06" w:rsidP="00243E06">
      <w:pPr>
        <w:tabs>
          <w:tab w:val="left" w:pos="1701"/>
          <w:tab w:val="left" w:pos="1985"/>
        </w:tabs>
        <w:ind w:left="2124" w:hanging="2124"/>
        <w:rPr>
          <w:rFonts w:eastAsiaTheme="minorEastAsia"/>
        </w:rPr>
      </w:pPr>
      <w:r>
        <w:t>Deutung:</w:t>
      </w:r>
      <w:r>
        <w:tab/>
      </w:r>
      <w:r>
        <w:tab/>
      </w:r>
      <w:r>
        <w:tab/>
        <w:t xml:space="preserve">Es gibt zwei verschiedene Zustände von </w:t>
      </w:r>
      <w:proofErr w:type="spellStart"/>
      <w:r>
        <w:t>Fluorescin</w:t>
      </w:r>
      <w:proofErr w:type="spellEnd"/>
      <w:r>
        <w:t>. Dieses Gleichgewicht ist pH-abhängig. Durch Zugabe von Natronlauge erhält man das fluoreszierende Molekül.</w:t>
      </w:r>
    </w:p>
    <w:p w:rsidR="00243E06" w:rsidRDefault="00243E06" w:rsidP="00243E06">
      <w:pPr>
        <w:spacing w:line="276" w:lineRule="auto"/>
        <w:jc w:val="left"/>
      </w:pPr>
      <w:r>
        <w:t>Entsorgung:</w:t>
      </w:r>
      <w:r>
        <w:tab/>
        <w:t xml:space="preserve">           </w:t>
      </w:r>
      <w:r>
        <w:tab/>
        <w:t>Die Lösung muss in den Behälter für organische Abfälle gegeben werden.</w:t>
      </w:r>
    </w:p>
    <w:p w:rsidR="00243E06" w:rsidRDefault="00243E06" w:rsidP="00243E06">
      <w:pPr>
        <w:spacing w:line="276" w:lineRule="auto"/>
        <w:ind w:left="2124" w:hanging="2124"/>
        <w:jc w:val="left"/>
      </w:pPr>
      <w:r>
        <w:t>Literatur:</w:t>
      </w:r>
      <w:r>
        <w:tab/>
        <w:t>http://www.werner-knoben.de/rossleben2001/doku/kurs72web/node7.hmtl (zuletzt aufgerufen am 13.08.2015 um22.45 Uhr).</w:t>
      </w:r>
    </w:p>
    <w:p w:rsidR="00243E06" w:rsidRDefault="00243E06" w:rsidP="00243E06">
      <w:pPr>
        <w:spacing w:line="276" w:lineRule="auto"/>
        <w:ind w:left="2124" w:hanging="2124"/>
        <w:jc w:val="left"/>
      </w:pPr>
      <w:r>
        <w:rPr>
          <w:noProof/>
          <w:lang w:eastAsia="de-DE"/>
        </w:rPr>
        <mc:AlternateContent>
          <mc:Choice Requires="wps">
            <w:drawing>
              <wp:inline distT="0" distB="0" distL="0" distR="0" wp14:anchorId="63FEE099" wp14:editId="43FB4338">
                <wp:extent cx="5760720" cy="826770"/>
                <wp:effectExtent l="0" t="0" r="11430" b="11430"/>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267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3E06" w:rsidRPr="00F31EBF" w:rsidRDefault="00243E06" w:rsidP="00243E06">
                            <w:pPr>
                              <w:rPr>
                                <w:color w:val="auto"/>
                              </w:rPr>
                            </w:pPr>
                            <w:r>
                              <w:rPr>
                                <w:color w:val="auto"/>
                              </w:rPr>
                              <w:t>Es ist sehr wichtig, dass nur eine geringe Menge von Fluorescein verwendet wird. Bereits eine Spatelspitze führt durch die hohe Konzentration zu einer starken Trübung der Lösung und zu einer Abnahme der Intensität der Fluoreszenz.</w:t>
                            </w:r>
                          </w:p>
                        </w:txbxContent>
                      </wps:txbx>
                      <wps:bodyPr rot="0" vert="horz" wrap="square" lIns="91440" tIns="45720" rIns="91440" bIns="45720" anchor="t" anchorCtr="0" upright="1">
                        <a:noAutofit/>
                      </wps:bodyPr>
                    </wps:wsp>
                  </a:graphicData>
                </a:graphic>
              </wp:inline>
            </w:drawing>
          </mc:Choice>
          <mc:Fallback>
            <w:pict>
              <v:shapetype w14:anchorId="63FEE099" id="_x0000_t202" coordsize="21600,21600" o:spt="202" path="m,l,21600r21600,l21600,xe">
                <v:stroke joinstyle="miter"/>
                <v:path gradientshapeok="t" o:connecttype="rect"/>
              </v:shapetype>
              <v:shape id="Text Box 134" o:spid="_x0000_s1026" type="#_x0000_t202" style="width:453.6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" fillcolor="white [3201]" strokecolor="#ed7d31 [3205]" strokeweight="1pt">
                <v:stroke dashstyle="dash"/>
                <v:shadow color="#868686"/>
                <v:textbox>
                  <w:txbxContent>
                    <w:p w:rsidR="00243E06" w:rsidRPr="00F31EBF" w:rsidRDefault="00243E06" w:rsidP="00243E06">
                      <w:pPr>
                        <w:rPr>
                          <w:color w:val="auto"/>
                        </w:rPr>
                      </w:pPr>
                      <w:r>
                        <w:rPr>
                          <w:color w:val="auto"/>
                        </w:rPr>
                        <w:t>Es ist sehr wichtig, dass nur eine geringe Menge von Fluorescein verwendet wird. Bereits eine Spatelspitze führt durch die hohe Konzentration zu einer starken Trübung der Lösung und zu einer Abnahme der Intensität der Fluoreszenz.</w:t>
                      </w:r>
                    </w:p>
                  </w:txbxContent>
                </v:textbox>
                <w10:anchorlock/>
              </v:shape>
            </w:pict>
          </mc:Fallback>
        </mc:AlternateContent>
      </w:r>
    </w:p>
    <w:p w:rsidR="00BD67BA" w:rsidRDefault="00BD67BA"/>
    <w:sectPr w:rsidR="00BD67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06"/>
    <w:rsid w:val="00243E06"/>
    <w:rsid w:val="00910492"/>
    <w:rsid w:val="00BD67BA"/>
    <w:rsid w:val="00FE6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CF2D-578C-4643-8777-43AF47B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E0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43E0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43E0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43E0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43E0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43E0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43E0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43E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3E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3E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3E0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43E0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43E0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43E0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43E0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43E0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43E0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43E0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3E0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1266</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3</cp:revision>
  <dcterms:created xsi:type="dcterms:W3CDTF">2015-08-20T08:57:00Z</dcterms:created>
  <dcterms:modified xsi:type="dcterms:W3CDTF">2015-08-24T10:35:00Z</dcterms:modified>
</cp:coreProperties>
</file>