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EF4D51" w:rsidRDefault="00954DC8" w:rsidP="00954DC8">
      <w:pPr>
        <w:autoSpaceDE w:val="0"/>
        <w:autoSpaceDN w:val="0"/>
        <w:adjustRightInd w:val="0"/>
        <w:rPr>
          <w:rFonts w:asciiTheme="majorHAnsi" w:hAnsiTheme="majorHAnsi" w:cs="Times-Roman"/>
        </w:rPr>
      </w:pPr>
      <w:bookmarkStart w:id="0" w:name="_GoBack"/>
      <w:bookmarkEnd w:id="0"/>
      <w:r w:rsidRPr="00EF4D51">
        <w:rPr>
          <w:rFonts w:asciiTheme="majorHAnsi" w:hAnsiTheme="majorHAnsi" w:cs="Times-Roman"/>
          <w:b/>
          <w:sz w:val="28"/>
          <w:szCs w:val="28"/>
        </w:rPr>
        <w:t>Schulversuchspraktikum</w:t>
      </w:r>
    </w:p>
    <w:p w:rsidR="00954DC8" w:rsidRPr="00EF4D51" w:rsidRDefault="00530637" w:rsidP="00F31EBF">
      <w:pPr>
        <w:spacing w:line="276" w:lineRule="auto"/>
        <w:rPr>
          <w:rFonts w:asciiTheme="majorHAnsi" w:hAnsiTheme="majorHAnsi"/>
        </w:rPr>
      </w:pPr>
      <w:r w:rsidRPr="00EF4D51">
        <w:rPr>
          <w:rFonts w:asciiTheme="majorHAnsi" w:hAnsiTheme="majorHAnsi"/>
        </w:rPr>
        <w:t>Maximilian Wolf</w:t>
      </w:r>
    </w:p>
    <w:p w:rsidR="00954DC8" w:rsidRPr="00EF4D51" w:rsidRDefault="00F74A95" w:rsidP="00F31EBF">
      <w:pPr>
        <w:spacing w:line="276" w:lineRule="auto"/>
        <w:rPr>
          <w:rFonts w:asciiTheme="majorHAnsi" w:hAnsiTheme="majorHAnsi"/>
        </w:rPr>
      </w:pPr>
      <w:r w:rsidRPr="00EF4D51">
        <w:rPr>
          <w:rFonts w:asciiTheme="majorHAnsi" w:hAnsiTheme="majorHAnsi"/>
        </w:rPr>
        <w:t>S</w:t>
      </w:r>
      <w:r w:rsidR="00530637" w:rsidRPr="00EF4D51">
        <w:rPr>
          <w:rFonts w:asciiTheme="majorHAnsi" w:hAnsiTheme="majorHAnsi"/>
        </w:rPr>
        <w:t>ommers</w:t>
      </w:r>
      <w:r w:rsidRPr="00EF4D51">
        <w:rPr>
          <w:rFonts w:asciiTheme="majorHAnsi" w:hAnsiTheme="majorHAnsi"/>
        </w:rPr>
        <w:t>emester</w:t>
      </w:r>
      <w:r w:rsidR="00530637" w:rsidRPr="00EF4D51">
        <w:rPr>
          <w:rFonts w:asciiTheme="majorHAnsi" w:hAnsiTheme="majorHAnsi"/>
        </w:rPr>
        <w:t xml:space="preserve"> 2015</w:t>
      </w:r>
    </w:p>
    <w:p w:rsidR="00954DC8" w:rsidRPr="00EF4D51" w:rsidRDefault="00954DC8" w:rsidP="00F31EBF">
      <w:pPr>
        <w:spacing w:line="276" w:lineRule="auto"/>
        <w:rPr>
          <w:rFonts w:asciiTheme="majorHAnsi" w:hAnsiTheme="majorHAnsi"/>
        </w:rPr>
      </w:pPr>
      <w:r w:rsidRPr="00EF4D51">
        <w:rPr>
          <w:rFonts w:asciiTheme="majorHAnsi" w:hAnsiTheme="majorHAnsi"/>
        </w:rPr>
        <w:t xml:space="preserve">Klassenstufen </w:t>
      </w:r>
      <w:r w:rsidR="00530637" w:rsidRPr="00EF4D51">
        <w:rPr>
          <w:rFonts w:asciiTheme="majorHAnsi" w:hAnsiTheme="majorHAnsi"/>
        </w:rPr>
        <w:t>11 &amp; 12</w:t>
      </w:r>
    </w:p>
    <w:p w:rsidR="00954DC8" w:rsidRDefault="00954DC8" w:rsidP="00954DC8"/>
    <w:p w:rsidR="008B7FD6" w:rsidRDefault="004B0CC6" w:rsidP="00954DC8">
      <w:r>
        <w:rPr>
          <w:noProof/>
          <w:lang w:eastAsia="de-DE"/>
        </w:rPr>
        <w:drawing>
          <wp:anchor distT="0" distB="0" distL="114300" distR="114300" simplePos="0" relativeHeight="251791360" behindDoc="0" locked="0" layoutInCell="1" allowOverlap="1">
            <wp:simplePos x="0" y="0"/>
            <wp:positionH relativeFrom="column">
              <wp:posOffset>3254376</wp:posOffset>
            </wp:positionH>
            <wp:positionV relativeFrom="paragraph">
              <wp:posOffset>244475</wp:posOffset>
            </wp:positionV>
            <wp:extent cx="1702435" cy="3210560"/>
            <wp:effectExtent l="304800" t="228600" r="507365" b="42799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14396649757381.jpg"/>
                    <pic:cNvPicPr/>
                  </pic:nvPicPr>
                  <pic:blipFill rotWithShape="1">
                    <a:blip r:embed="rId8">
                      <a:extLst>
                        <a:ext uri="{28A0092B-C50C-407E-A947-70E740481C1C}">
                          <a14:useLocalDpi xmlns:a14="http://schemas.microsoft.com/office/drawing/2010/main" val="0"/>
                        </a:ext>
                      </a:extLst>
                    </a:blip>
                    <a:srcRect l="30365" t="29039" r="25611" b="8725"/>
                    <a:stretch/>
                  </pic:blipFill>
                  <pic:spPr bwMode="auto">
                    <a:xfrm rot="371532">
                      <a:off x="0" y="0"/>
                      <a:ext cx="1702435" cy="32105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p w:rsidR="008B7FD6" w:rsidRDefault="008B7FD6" w:rsidP="00954DC8"/>
    <w:p w:rsidR="00567838" w:rsidRDefault="004B0CC6" w:rsidP="00954DC8">
      <w:r>
        <w:rPr>
          <w:noProof/>
          <w:lang w:eastAsia="de-DE"/>
        </w:rPr>
        <w:drawing>
          <wp:anchor distT="0" distB="0" distL="114300" distR="114300" simplePos="0" relativeHeight="251792384" behindDoc="0" locked="0" layoutInCell="1" allowOverlap="1">
            <wp:simplePos x="0" y="0"/>
            <wp:positionH relativeFrom="column">
              <wp:posOffset>664209</wp:posOffset>
            </wp:positionH>
            <wp:positionV relativeFrom="paragraph">
              <wp:posOffset>133350</wp:posOffset>
            </wp:positionV>
            <wp:extent cx="1945228" cy="3908200"/>
            <wp:effectExtent l="247650" t="209550" r="455295" b="39751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8685.JPG"/>
                    <pic:cNvPicPr/>
                  </pic:nvPicPr>
                  <pic:blipFill rotWithShape="1">
                    <a:blip r:embed="rId9" cstate="print">
                      <a:extLst>
                        <a:ext uri="{28A0092B-C50C-407E-A947-70E740481C1C}">
                          <a14:useLocalDpi xmlns:a14="http://schemas.microsoft.com/office/drawing/2010/main" val="0"/>
                        </a:ext>
                      </a:extLst>
                    </a:blip>
                    <a:srcRect t="30897"/>
                    <a:stretch/>
                  </pic:blipFill>
                  <pic:spPr bwMode="auto">
                    <a:xfrm rot="21392238">
                      <a:off x="0" y="0"/>
                      <a:ext cx="1945228" cy="39082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p w:rsidR="00EF4D51" w:rsidRDefault="00EF4D51" w:rsidP="00954DC8"/>
    <w:p w:rsidR="00EF4D51" w:rsidRDefault="00EF4D51" w:rsidP="00954DC8"/>
    <w:p w:rsidR="00EF4D51" w:rsidRDefault="00EF4D51" w:rsidP="00954DC8"/>
    <w:p w:rsidR="00EF4D51" w:rsidRDefault="00EF4D51" w:rsidP="00954DC8"/>
    <w:p w:rsidR="00567838" w:rsidRDefault="00567838" w:rsidP="00954DC8"/>
    <w:p w:rsidR="00567838" w:rsidRDefault="00567838" w:rsidP="00954DC8"/>
    <w:p w:rsidR="004B0CC6" w:rsidRDefault="004B0CC6" w:rsidP="00954DC8"/>
    <w:p w:rsidR="004B0CC6" w:rsidRDefault="004B0CC6" w:rsidP="00954DC8"/>
    <w:p w:rsidR="00567838" w:rsidRDefault="00567838" w:rsidP="00954DC8"/>
    <w:p w:rsidR="008B7FD6" w:rsidRDefault="008B7FD6" w:rsidP="00530637"/>
    <w:p w:rsidR="00EF4D51" w:rsidRDefault="00EF4D51" w:rsidP="00567838">
      <w:pPr>
        <w:rPr>
          <w:rFonts w:asciiTheme="majorHAnsi" w:hAnsiTheme="majorHAnsi" w:cs="Times New Roman"/>
          <w:sz w:val="24"/>
          <w:szCs w:val="24"/>
        </w:rPr>
      </w:pPr>
    </w:p>
    <w:p w:rsidR="00567838" w:rsidRPr="00EF4D51" w:rsidRDefault="003F60C3" w:rsidP="00567838">
      <w:pPr>
        <w:rPr>
          <w:rFonts w:asciiTheme="majorHAnsi" w:hAnsiTheme="majorHAnsi" w:cs="Times New Roman"/>
          <w:sz w:val="24"/>
          <w:szCs w:val="24"/>
        </w:rPr>
      </w:pPr>
      <w:r>
        <w:rPr>
          <w:noProof/>
          <w:sz w:val="24"/>
          <w:szCs w:val="24"/>
          <w:lang w:eastAsia="de-DE"/>
        </w:rPr>
        <mc:AlternateContent>
          <mc:Choice Requires="wps">
            <w:drawing>
              <wp:anchor distT="4294967294" distB="4294967294" distL="114300" distR="114300" simplePos="0" relativeHeight="251784192" behindDoc="0" locked="0" layoutInCell="1" allowOverlap="1" wp14:anchorId="79DED397">
                <wp:simplePos x="0" y="0"/>
                <wp:positionH relativeFrom="column">
                  <wp:posOffset>1270</wp:posOffset>
                </wp:positionH>
                <wp:positionV relativeFrom="paragraph">
                  <wp:posOffset>261619</wp:posOffset>
                </wp:positionV>
                <wp:extent cx="5695950" cy="0"/>
                <wp:effectExtent l="0" t="0" r="19050" b="19050"/>
                <wp:wrapNone/>
                <wp:docPr id="1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C1A0D" id="_x0000_t32" coordsize="21600,21600" o:spt="32" o:oned="t" path="m,l21600,21600e" filled="f">
                <v:path arrowok="t" fillok="f" o:connecttype="none"/>
                <o:lock v:ext="edit" shapetype="t"/>
              </v:shapetype>
              <v:shape id="AutoShape 129" o:spid="_x0000_s1026" type="#_x0000_t32" style="position:absolute;margin-left:.1pt;margin-top:20.6pt;width:448.5pt;height:0;z-index:251784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"/>
            </w:pict>
          </mc:Fallback>
        </mc:AlternateContent>
      </w:r>
    </w:p>
    <w:p w:rsidR="0006684E" w:rsidRPr="00567838" w:rsidRDefault="003F60C3" w:rsidP="0006684E">
      <w:pPr>
        <w:autoSpaceDE w:val="0"/>
        <w:autoSpaceDN w:val="0"/>
        <w:adjustRightInd w:val="0"/>
        <w:jc w:val="center"/>
        <w:rPr>
          <w:rFonts w:asciiTheme="majorHAnsi" w:hAnsiTheme="majorHAnsi" w:cs="Times New Roman"/>
          <w:b/>
          <w:sz w:val="52"/>
          <w:szCs w:val="24"/>
        </w:rPr>
      </w:pPr>
      <w:r>
        <w:rPr>
          <w:noProof/>
          <w:lang w:eastAsia="de-DE"/>
        </w:rPr>
        <mc:AlternateContent>
          <mc:Choice Requires="wps">
            <w:drawing>
              <wp:anchor distT="4294967294" distB="4294967294" distL="114300" distR="114300" simplePos="0" relativeHeight="251790336" behindDoc="0" locked="0" layoutInCell="1" allowOverlap="1" wp14:anchorId="5E9E84D5">
                <wp:simplePos x="0" y="0"/>
                <wp:positionH relativeFrom="column">
                  <wp:posOffset>0</wp:posOffset>
                </wp:positionH>
                <wp:positionV relativeFrom="paragraph">
                  <wp:posOffset>565149</wp:posOffset>
                </wp:positionV>
                <wp:extent cx="5695950" cy="0"/>
                <wp:effectExtent l="0" t="0" r="19050" b="19050"/>
                <wp:wrapNone/>
                <wp:docPr id="4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6DFED" id="AutoShape 129" o:spid="_x0000_s1026" type="#_x0000_t32" style="position:absolute;margin-left:0;margin-top:44.5pt;width:448.5pt;height:0;z-index:251790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"/>
            </w:pict>
          </mc:Fallback>
        </mc:AlternateContent>
      </w:r>
      <w:r w:rsidR="00530637" w:rsidRPr="00567838">
        <w:rPr>
          <w:rFonts w:asciiTheme="majorHAnsi" w:hAnsiTheme="majorHAnsi" w:cs="Times New Roman"/>
          <w:b/>
          <w:sz w:val="52"/>
          <w:szCs w:val="24"/>
        </w:rPr>
        <w:t>Proteine</w:t>
      </w:r>
    </w:p>
    <w:p w:rsidR="00530637" w:rsidRDefault="00530637">
      <w:pPr>
        <w:spacing w:line="276" w:lineRule="auto"/>
        <w:jc w:val="left"/>
        <w:rPr>
          <w:noProof/>
          <w:lang w:eastAsia="de-DE"/>
        </w:rPr>
      </w:pPr>
      <w:r>
        <w:rPr>
          <w:noProof/>
          <w:lang w:eastAsia="de-DE"/>
        </w:rPr>
        <w:br w:type="page"/>
      </w:r>
    </w:p>
    <w:p w:rsidR="00A90BD6" w:rsidRDefault="003F60C3">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4EF54AD7">
                <wp:simplePos x="0" y="0"/>
                <wp:positionH relativeFrom="column">
                  <wp:posOffset>-106045</wp:posOffset>
                </wp:positionH>
                <wp:positionV relativeFrom="paragraph">
                  <wp:posOffset>5715</wp:posOffset>
                </wp:positionV>
                <wp:extent cx="5958840" cy="2182495"/>
                <wp:effectExtent l="0" t="0" r="22860" b="27305"/>
                <wp:wrapNone/>
                <wp:docPr id="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18249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334B" w:rsidRDefault="00B1334B">
                            <w:pPr>
                              <w:pBdr>
                                <w:bottom w:val="single" w:sz="6" w:space="1" w:color="auto"/>
                              </w:pBdr>
                              <w:rPr>
                                <w:b/>
                              </w:rPr>
                            </w:pPr>
                            <w:r w:rsidRPr="00A90BD6">
                              <w:rPr>
                                <w:b/>
                              </w:rPr>
                              <w:t>Auf einen Blick:</w:t>
                            </w:r>
                          </w:p>
                          <w:p w:rsidR="00B1334B" w:rsidRPr="00F31EBF" w:rsidRDefault="00B1334B" w:rsidP="004944F3">
                            <w:pPr>
                              <w:rPr>
                                <w:i/>
                                <w:color w:val="auto"/>
                              </w:rPr>
                            </w:pPr>
                            <w:r>
                              <w:rPr>
                                <w:rFonts w:asciiTheme="majorHAnsi" w:hAnsiTheme="majorHAnsi"/>
                                <w:color w:val="auto"/>
                              </w:rPr>
                              <w:t>Proteine sind einer der Grundbausteine des Lebens. Diese Stoffe in ihrem Aufbau und ihrer Struktur experimentell zu erforschen ist Teil dieses Protokolls. Im Biologieunterricht steht eher die Enzymfunktion von Proteinen und deren Bedeutung für das Leben im Vordergrund. Chemieunterricht und dieses Protokoll hingegen legen den Fokus auf die Erforschung d</w:t>
                            </w:r>
                            <w:r w:rsidR="004B0CC6">
                              <w:rPr>
                                <w:rFonts w:asciiTheme="majorHAnsi" w:hAnsiTheme="majorHAnsi"/>
                                <w:color w:val="auto"/>
                              </w:rPr>
                              <w:t>er</w:t>
                            </w:r>
                            <w:r>
                              <w:rPr>
                                <w:rFonts w:asciiTheme="majorHAnsi" w:hAnsiTheme="majorHAnsi"/>
                                <w:color w:val="auto"/>
                              </w:rPr>
                              <w:t xml:space="preserve"> chemischen Eigenschaften dieser interessanten und vielfältigen Makromoleküle. In diesem Protokoll wird die Struktur-Eigenschaftsbeziehung anhand von Proteinfällung und des Nachweises mit der Biuret-Probe erforscht.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54AD7" id="_x0000_t202" coordsize="21600,21600" o:spt="202" path="m,l,21600r21600,l21600,xe">
                <v:stroke joinstyle="miter"/>
                <v:path gradientshapeok="t" o:connecttype="rect"/>
              </v:shapetype>
              <v:shape id="Text Box 121" o:spid="_x0000_s1026" type="#_x0000_t202" style="position:absolute;margin-left:-8.35pt;margin-top:.45pt;width:469.2pt;height:171.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" fillcolor="white [3201]" strokecolor="#9bbb59 [3206]" strokeweight="1pt">
                <v:stroke dashstyle="dash"/>
                <v:shadow color="#868686"/>
                <v:textbox>
                  <w:txbxContent>
                    <w:p w:rsidR="00B1334B" w:rsidRDefault="00B1334B">
                      <w:pPr>
                        <w:pBdr>
                          <w:bottom w:val="single" w:sz="6" w:space="1" w:color="auto"/>
                        </w:pBdr>
                        <w:rPr>
                          <w:b/>
                        </w:rPr>
                      </w:pPr>
                      <w:r w:rsidRPr="00A90BD6">
                        <w:rPr>
                          <w:b/>
                        </w:rPr>
                        <w:t>Auf einen Blick:</w:t>
                      </w:r>
                    </w:p>
                    <w:p w:rsidR="00B1334B" w:rsidRPr="00F31EBF" w:rsidRDefault="00B1334B" w:rsidP="004944F3">
                      <w:pPr>
                        <w:rPr>
                          <w:i/>
                          <w:color w:val="auto"/>
                        </w:rPr>
                      </w:pPr>
                      <w:r>
                        <w:rPr>
                          <w:rFonts w:asciiTheme="majorHAnsi" w:hAnsiTheme="majorHAnsi"/>
                          <w:color w:val="auto"/>
                        </w:rPr>
                        <w:t>Proteine sind einer der Grundbausteine des Lebens. Diese Stoffe in ihrem Aufbau und ihrer Struktur experimentell zu erforschen ist Teil dieses Protokolls. Im Biologieunterricht steht eher die Enzymfunktion von Proteinen und deren Bedeutung für das Leben im Vordergrund. Chemieunterricht und dieses Protokoll hingegen legen den Fokus auf die Erforschung d</w:t>
                      </w:r>
                      <w:r w:rsidR="004B0CC6">
                        <w:rPr>
                          <w:rFonts w:asciiTheme="majorHAnsi" w:hAnsiTheme="majorHAnsi"/>
                          <w:color w:val="auto"/>
                        </w:rPr>
                        <w:t>er</w:t>
                      </w:r>
                      <w:r>
                        <w:rPr>
                          <w:rFonts w:asciiTheme="majorHAnsi" w:hAnsiTheme="majorHAnsi"/>
                          <w:color w:val="auto"/>
                        </w:rPr>
                        <w:t xml:space="preserve"> chemischen Eigenschaften dieser interessanten und vielfältigen Makromoleküle. In diesem Protokoll wird die Struktur-Eigenschaftsbeziehung anhand von Proteinfällung und des Nachweises mit der Biuret-Probe erforscht.</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946F8B" w:rsidRDefault="00946F8B" w:rsidP="00A90BD6"/>
    <w:p w:rsidR="00946F8B" w:rsidRDefault="00946F8B"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8C2D26" w:rsidRDefault="006E766A">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745698" w:history="1">
            <w:r w:rsidR="008C2D26" w:rsidRPr="004C7BBA">
              <w:rPr>
                <w:rStyle w:val="Hyperlink"/>
                <w:noProof/>
              </w:rPr>
              <w:t>1</w:t>
            </w:r>
            <w:r w:rsidR="008C2D26">
              <w:rPr>
                <w:rFonts w:asciiTheme="minorHAnsi" w:eastAsiaTheme="minorEastAsia" w:hAnsiTheme="minorHAnsi"/>
                <w:noProof/>
                <w:color w:val="auto"/>
                <w:lang w:eastAsia="de-DE"/>
              </w:rPr>
              <w:tab/>
            </w:r>
            <w:r w:rsidR="008C2D26" w:rsidRPr="004C7BBA">
              <w:rPr>
                <w:rStyle w:val="Hyperlink"/>
                <w:noProof/>
              </w:rPr>
              <w:t>Beschreibung des Themas und zugehörige Lernziele</w:t>
            </w:r>
            <w:r w:rsidR="008C2D26">
              <w:rPr>
                <w:noProof/>
                <w:webHidden/>
              </w:rPr>
              <w:tab/>
            </w:r>
            <w:r>
              <w:rPr>
                <w:noProof/>
                <w:webHidden/>
              </w:rPr>
              <w:fldChar w:fldCharType="begin"/>
            </w:r>
            <w:r w:rsidR="008C2D26">
              <w:rPr>
                <w:noProof/>
                <w:webHidden/>
              </w:rPr>
              <w:instrText xml:space="preserve"> PAGEREF _Toc427745698 \h </w:instrText>
            </w:r>
            <w:r>
              <w:rPr>
                <w:noProof/>
                <w:webHidden/>
              </w:rPr>
            </w:r>
            <w:r>
              <w:rPr>
                <w:noProof/>
                <w:webHidden/>
              </w:rPr>
              <w:fldChar w:fldCharType="separate"/>
            </w:r>
            <w:r w:rsidR="005F3F29">
              <w:rPr>
                <w:noProof/>
                <w:webHidden/>
              </w:rPr>
              <w:t>2</w:t>
            </w:r>
            <w:r>
              <w:rPr>
                <w:noProof/>
                <w:webHidden/>
              </w:rPr>
              <w:fldChar w:fldCharType="end"/>
            </w:r>
          </w:hyperlink>
        </w:p>
        <w:p w:rsidR="008C2D26" w:rsidRDefault="00775302">
          <w:pPr>
            <w:pStyle w:val="Verzeichnis1"/>
            <w:tabs>
              <w:tab w:val="left" w:pos="440"/>
              <w:tab w:val="right" w:leader="dot" w:pos="9062"/>
            </w:tabs>
            <w:rPr>
              <w:rFonts w:asciiTheme="minorHAnsi" w:eastAsiaTheme="minorEastAsia" w:hAnsiTheme="minorHAnsi"/>
              <w:noProof/>
              <w:color w:val="auto"/>
              <w:lang w:eastAsia="de-DE"/>
            </w:rPr>
          </w:pPr>
          <w:hyperlink w:anchor="_Toc427745699" w:history="1">
            <w:r w:rsidR="008C2D26" w:rsidRPr="004C7BBA">
              <w:rPr>
                <w:rStyle w:val="Hyperlink"/>
                <w:noProof/>
              </w:rPr>
              <w:t>2</w:t>
            </w:r>
            <w:r w:rsidR="008C2D26">
              <w:rPr>
                <w:rFonts w:asciiTheme="minorHAnsi" w:eastAsiaTheme="minorEastAsia" w:hAnsiTheme="minorHAnsi"/>
                <w:noProof/>
                <w:color w:val="auto"/>
                <w:lang w:eastAsia="de-DE"/>
              </w:rPr>
              <w:tab/>
            </w:r>
            <w:r w:rsidR="008C2D26" w:rsidRPr="004C7BBA">
              <w:rPr>
                <w:rStyle w:val="Hyperlink"/>
                <w:noProof/>
              </w:rPr>
              <w:t>Relevanz des Themas für SuS der 11. und 12. Jahrgangsstufe und didaktische Reduktion</w:t>
            </w:r>
            <w:r w:rsidR="008C2D26">
              <w:rPr>
                <w:noProof/>
                <w:webHidden/>
              </w:rPr>
              <w:tab/>
            </w:r>
            <w:r w:rsidR="006E766A">
              <w:rPr>
                <w:noProof/>
                <w:webHidden/>
              </w:rPr>
              <w:fldChar w:fldCharType="begin"/>
            </w:r>
            <w:r w:rsidR="008C2D26">
              <w:rPr>
                <w:noProof/>
                <w:webHidden/>
              </w:rPr>
              <w:instrText xml:space="preserve"> PAGEREF _Toc427745699 \h </w:instrText>
            </w:r>
            <w:r w:rsidR="006E766A">
              <w:rPr>
                <w:noProof/>
                <w:webHidden/>
              </w:rPr>
            </w:r>
            <w:r w:rsidR="006E766A">
              <w:rPr>
                <w:noProof/>
                <w:webHidden/>
              </w:rPr>
              <w:fldChar w:fldCharType="separate"/>
            </w:r>
            <w:r w:rsidR="005F3F29">
              <w:rPr>
                <w:noProof/>
                <w:webHidden/>
              </w:rPr>
              <w:t>3</w:t>
            </w:r>
            <w:r w:rsidR="006E766A">
              <w:rPr>
                <w:noProof/>
                <w:webHidden/>
              </w:rPr>
              <w:fldChar w:fldCharType="end"/>
            </w:r>
          </w:hyperlink>
        </w:p>
        <w:p w:rsidR="008C2D26" w:rsidRDefault="00775302">
          <w:pPr>
            <w:pStyle w:val="Verzeichnis1"/>
            <w:tabs>
              <w:tab w:val="left" w:pos="440"/>
              <w:tab w:val="right" w:leader="dot" w:pos="9062"/>
            </w:tabs>
            <w:rPr>
              <w:rFonts w:asciiTheme="minorHAnsi" w:eastAsiaTheme="minorEastAsia" w:hAnsiTheme="minorHAnsi"/>
              <w:noProof/>
              <w:color w:val="auto"/>
              <w:lang w:eastAsia="de-DE"/>
            </w:rPr>
          </w:pPr>
          <w:hyperlink w:anchor="_Toc427745700" w:history="1">
            <w:r w:rsidR="008C2D26" w:rsidRPr="004C7BBA">
              <w:rPr>
                <w:rStyle w:val="Hyperlink"/>
                <w:noProof/>
              </w:rPr>
              <w:t>3</w:t>
            </w:r>
            <w:r w:rsidR="008C2D26">
              <w:rPr>
                <w:rFonts w:asciiTheme="minorHAnsi" w:eastAsiaTheme="minorEastAsia" w:hAnsiTheme="minorHAnsi"/>
                <w:noProof/>
                <w:color w:val="auto"/>
                <w:lang w:eastAsia="de-DE"/>
              </w:rPr>
              <w:tab/>
            </w:r>
            <w:r w:rsidR="008C2D26" w:rsidRPr="004C7BBA">
              <w:rPr>
                <w:rStyle w:val="Hyperlink"/>
                <w:noProof/>
              </w:rPr>
              <w:t>Schülerversuch – V1 Proteinnachweis durch die Biuret-Probe</w:t>
            </w:r>
            <w:r w:rsidR="008C2D26">
              <w:rPr>
                <w:noProof/>
                <w:webHidden/>
              </w:rPr>
              <w:tab/>
            </w:r>
            <w:r w:rsidR="006E766A">
              <w:rPr>
                <w:noProof/>
                <w:webHidden/>
              </w:rPr>
              <w:fldChar w:fldCharType="begin"/>
            </w:r>
            <w:r w:rsidR="008C2D26">
              <w:rPr>
                <w:noProof/>
                <w:webHidden/>
              </w:rPr>
              <w:instrText xml:space="preserve"> PAGEREF _Toc427745700 \h </w:instrText>
            </w:r>
            <w:r w:rsidR="006E766A">
              <w:rPr>
                <w:noProof/>
                <w:webHidden/>
              </w:rPr>
            </w:r>
            <w:r w:rsidR="006E766A">
              <w:rPr>
                <w:noProof/>
                <w:webHidden/>
              </w:rPr>
              <w:fldChar w:fldCharType="separate"/>
            </w:r>
            <w:r w:rsidR="005F3F29">
              <w:rPr>
                <w:noProof/>
                <w:webHidden/>
              </w:rPr>
              <w:t>4</w:t>
            </w:r>
            <w:r w:rsidR="006E766A">
              <w:rPr>
                <w:noProof/>
                <w:webHidden/>
              </w:rPr>
              <w:fldChar w:fldCharType="end"/>
            </w:r>
          </w:hyperlink>
        </w:p>
        <w:p w:rsidR="008C2D26" w:rsidRDefault="00775302">
          <w:pPr>
            <w:pStyle w:val="Verzeichnis1"/>
            <w:tabs>
              <w:tab w:val="left" w:pos="440"/>
              <w:tab w:val="right" w:leader="dot" w:pos="9062"/>
            </w:tabs>
            <w:rPr>
              <w:rFonts w:asciiTheme="minorHAnsi" w:eastAsiaTheme="minorEastAsia" w:hAnsiTheme="minorHAnsi"/>
              <w:noProof/>
              <w:color w:val="auto"/>
              <w:lang w:eastAsia="de-DE"/>
            </w:rPr>
          </w:pPr>
          <w:hyperlink w:anchor="_Toc427745701" w:history="1">
            <w:r w:rsidR="008C2D26" w:rsidRPr="004C7BBA">
              <w:rPr>
                <w:rStyle w:val="Hyperlink"/>
                <w:noProof/>
              </w:rPr>
              <w:t>4</w:t>
            </w:r>
            <w:r w:rsidR="008C2D26">
              <w:rPr>
                <w:rFonts w:asciiTheme="minorHAnsi" w:eastAsiaTheme="minorEastAsia" w:hAnsiTheme="minorHAnsi"/>
                <w:noProof/>
                <w:color w:val="auto"/>
                <w:lang w:eastAsia="de-DE"/>
              </w:rPr>
              <w:tab/>
            </w:r>
            <w:r w:rsidR="008C2D26" w:rsidRPr="004C7BBA">
              <w:rPr>
                <w:rStyle w:val="Hyperlink"/>
                <w:noProof/>
              </w:rPr>
              <w:t>Schülerversuch – V2 Fällung von Proteinen</w:t>
            </w:r>
            <w:r w:rsidR="008C2D26">
              <w:rPr>
                <w:noProof/>
                <w:webHidden/>
              </w:rPr>
              <w:tab/>
            </w:r>
            <w:r w:rsidR="006E766A">
              <w:rPr>
                <w:noProof/>
                <w:webHidden/>
              </w:rPr>
              <w:fldChar w:fldCharType="begin"/>
            </w:r>
            <w:r w:rsidR="008C2D26">
              <w:rPr>
                <w:noProof/>
                <w:webHidden/>
              </w:rPr>
              <w:instrText xml:space="preserve"> PAGEREF _Toc427745701 \h </w:instrText>
            </w:r>
            <w:r w:rsidR="006E766A">
              <w:rPr>
                <w:noProof/>
                <w:webHidden/>
              </w:rPr>
            </w:r>
            <w:r w:rsidR="006E766A">
              <w:rPr>
                <w:noProof/>
                <w:webHidden/>
              </w:rPr>
              <w:fldChar w:fldCharType="separate"/>
            </w:r>
            <w:r w:rsidR="005F3F29">
              <w:rPr>
                <w:noProof/>
                <w:webHidden/>
              </w:rPr>
              <w:t>6</w:t>
            </w:r>
            <w:r w:rsidR="006E766A">
              <w:rPr>
                <w:noProof/>
                <w:webHidden/>
              </w:rPr>
              <w:fldChar w:fldCharType="end"/>
            </w:r>
          </w:hyperlink>
        </w:p>
        <w:p w:rsidR="008C2D26" w:rsidRDefault="00775302">
          <w:pPr>
            <w:pStyle w:val="Verzeichnis1"/>
            <w:tabs>
              <w:tab w:val="left" w:pos="440"/>
              <w:tab w:val="right" w:leader="dot" w:pos="9062"/>
            </w:tabs>
            <w:rPr>
              <w:rFonts w:asciiTheme="minorHAnsi" w:eastAsiaTheme="minorEastAsia" w:hAnsiTheme="minorHAnsi"/>
              <w:noProof/>
              <w:color w:val="auto"/>
              <w:lang w:eastAsia="de-DE"/>
            </w:rPr>
          </w:pPr>
          <w:hyperlink w:anchor="_Toc427745702" w:history="1">
            <w:r w:rsidR="008C2D26" w:rsidRPr="004C7BBA">
              <w:rPr>
                <w:rStyle w:val="Hyperlink"/>
                <w:noProof/>
              </w:rPr>
              <w:t>5</w:t>
            </w:r>
            <w:r w:rsidR="008C2D26">
              <w:rPr>
                <w:rFonts w:asciiTheme="minorHAnsi" w:eastAsiaTheme="minorEastAsia" w:hAnsiTheme="minorHAnsi"/>
                <w:noProof/>
                <w:color w:val="auto"/>
                <w:lang w:eastAsia="de-DE"/>
              </w:rPr>
              <w:tab/>
            </w:r>
            <w:r w:rsidR="008C2D26" w:rsidRPr="004C7BBA">
              <w:rPr>
                <w:rStyle w:val="Hyperlink"/>
                <w:noProof/>
              </w:rPr>
              <w:t>Didaktischer Kommentar zum Schülerarbeitsblatt</w:t>
            </w:r>
            <w:r w:rsidR="008C2D26">
              <w:rPr>
                <w:noProof/>
                <w:webHidden/>
              </w:rPr>
              <w:tab/>
            </w:r>
            <w:r w:rsidR="006E766A">
              <w:rPr>
                <w:noProof/>
                <w:webHidden/>
              </w:rPr>
              <w:fldChar w:fldCharType="begin"/>
            </w:r>
            <w:r w:rsidR="008C2D26">
              <w:rPr>
                <w:noProof/>
                <w:webHidden/>
              </w:rPr>
              <w:instrText xml:space="preserve"> PAGEREF _Toc427745702 \h </w:instrText>
            </w:r>
            <w:r w:rsidR="006E766A">
              <w:rPr>
                <w:noProof/>
                <w:webHidden/>
              </w:rPr>
            </w:r>
            <w:r w:rsidR="006E766A">
              <w:rPr>
                <w:noProof/>
                <w:webHidden/>
              </w:rPr>
              <w:fldChar w:fldCharType="separate"/>
            </w:r>
            <w:r w:rsidR="005F3F29">
              <w:rPr>
                <w:noProof/>
                <w:webHidden/>
              </w:rPr>
              <w:t>6</w:t>
            </w:r>
            <w:r w:rsidR="006E766A">
              <w:rPr>
                <w:noProof/>
                <w:webHidden/>
              </w:rPr>
              <w:fldChar w:fldCharType="end"/>
            </w:r>
          </w:hyperlink>
        </w:p>
        <w:p w:rsidR="008C2D26" w:rsidRDefault="00775302">
          <w:pPr>
            <w:pStyle w:val="Verzeichnis2"/>
            <w:tabs>
              <w:tab w:val="left" w:pos="880"/>
              <w:tab w:val="right" w:leader="dot" w:pos="9062"/>
            </w:tabs>
            <w:rPr>
              <w:rFonts w:asciiTheme="minorHAnsi" w:eastAsiaTheme="minorEastAsia" w:hAnsiTheme="minorHAnsi"/>
              <w:noProof/>
              <w:color w:val="auto"/>
              <w:lang w:eastAsia="de-DE"/>
            </w:rPr>
          </w:pPr>
          <w:hyperlink w:anchor="_Toc427745703" w:history="1">
            <w:r w:rsidR="008C2D26" w:rsidRPr="004C7BBA">
              <w:rPr>
                <w:rStyle w:val="Hyperlink"/>
                <w:noProof/>
              </w:rPr>
              <w:t>5.1</w:t>
            </w:r>
            <w:r w:rsidR="008C2D26">
              <w:rPr>
                <w:rFonts w:asciiTheme="minorHAnsi" w:eastAsiaTheme="minorEastAsia" w:hAnsiTheme="minorHAnsi"/>
                <w:noProof/>
                <w:color w:val="auto"/>
                <w:lang w:eastAsia="de-DE"/>
              </w:rPr>
              <w:tab/>
            </w:r>
            <w:r w:rsidR="008C2D26" w:rsidRPr="004C7BBA">
              <w:rPr>
                <w:rStyle w:val="Hyperlink"/>
                <w:noProof/>
              </w:rPr>
              <w:t>Erwartungshorizont (Kerncurriculum)</w:t>
            </w:r>
            <w:r w:rsidR="008C2D26">
              <w:rPr>
                <w:noProof/>
                <w:webHidden/>
              </w:rPr>
              <w:tab/>
            </w:r>
            <w:r w:rsidR="006E766A">
              <w:rPr>
                <w:noProof/>
                <w:webHidden/>
              </w:rPr>
              <w:fldChar w:fldCharType="begin"/>
            </w:r>
            <w:r w:rsidR="008C2D26">
              <w:rPr>
                <w:noProof/>
                <w:webHidden/>
              </w:rPr>
              <w:instrText xml:space="preserve"> PAGEREF _Toc427745703 \h </w:instrText>
            </w:r>
            <w:r w:rsidR="006E766A">
              <w:rPr>
                <w:noProof/>
                <w:webHidden/>
              </w:rPr>
            </w:r>
            <w:r w:rsidR="006E766A">
              <w:rPr>
                <w:noProof/>
                <w:webHidden/>
              </w:rPr>
              <w:fldChar w:fldCharType="separate"/>
            </w:r>
            <w:r w:rsidR="005F3F29">
              <w:rPr>
                <w:noProof/>
                <w:webHidden/>
              </w:rPr>
              <w:t>6</w:t>
            </w:r>
            <w:r w:rsidR="006E766A">
              <w:rPr>
                <w:noProof/>
                <w:webHidden/>
              </w:rPr>
              <w:fldChar w:fldCharType="end"/>
            </w:r>
          </w:hyperlink>
        </w:p>
        <w:p w:rsidR="008C2D26" w:rsidRDefault="00775302">
          <w:pPr>
            <w:pStyle w:val="Verzeichnis2"/>
            <w:tabs>
              <w:tab w:val="left" w:pos="880"/>
              <w:tab w:val="right" w:leader="dot" w:pos="9062"/>
            </w:tabs>
            <w:rPr>
              <w:rFonts w:asciiTheme="minorHAnsi" w:eastAsiaTheme="minorEastAsia" w:hAnsiTheme="minorHAnsi"/>
              <w:noProof/>
              <w:color w:val="auto"/>
              <w:lang w:eastAsia="de-DE"/>
            </w:rPr>
          </w:pPr>
          <w:hyperlink w:anchor="_Toc427745704" w:history="1">
            <w:r w:rsidR="008C2D26" w:rsidRPr="004C7BBA">
              <w:rPr>
                <w:rStyle w:val="Hyperlink"/>
                <w:noProof/>
              </w:rPr>
              <w:t>5.2</w:t>
            </w:r>
            <w:r w:rsidR="008C2D26">
              <w:rPr>
                <w:rFonts w:asciiTheme="minorHAnsi" w:eastAsiaTheme="minorEastAsia" w:hAnsiTheme="minorHAnsi"/>
                <w:noProof/>
                <w:color w:val="auto"/>
                <w:lang w:eastAsia="de-DE"/>
              </w:rPr>
              <w:tab/>
            </w:r>
            <w:r w:rsidR="008C2D26" w:rsidRPr="004C7BBA">
              <w:rPr>
                <w:rStyle w:val="Hyperlink"/>
                <w:noProof/>
              </w:rPr>
              <w:t>Erwartungshorizont (Inhaltlich)</w:t>
            </w:r>
            <w:r w:rsidR="008C2D26">
              <w:rPr>
                <w:noProof/>
                <w:webHidden/>
              </w:rPr>
              <w:tab/>
            </w:r>
            <w:r w:rsidR="006E766A">
              <w:rPr>
                <w:noProof/>
                <w:webHidden/>
              </w:rPr>
              <w:fldChar w:fldCharType="begin"/>
            </w:r>
            <w:r w:rsidR="008C2D26">
              <w:rPr>
                <w:noProof/>
                <w:webHidden/>
              </w:rPr>
              <w:instrText xml:space="preserve"> PAGEREF _Toc427745704 \h </w:instrText>
            </w:r>
            <w:r w:rsidR="006E766A">
              <w:rPr>
                <w:noProof/>
                <w:webHidden/>
              </w:rPr>
            </w:r>
            <w:r w:rsidR="006E766A">
              <w:rPr>
                <w:noProof/>
                <w:webHidden/>
              </w:rPr>
              <w:fldChar w:fldCharType="separate"/>
            </w:r>
            <w:r w:rsidR="005F3F29">
              <w:rPr>
                <w:noProof/>
                <w:webHidden/>
              </w:rPr>
              <w:t>7</w:t>
            </w:r>
            <w:r w:rsidR="006E766A">
              <w:rPr>
                <w:noProof/>
                <w:webHidden/>
              </w:rPr>
              <w:fldChar w:fldCharType="end"/>
            </w:r>
          </w:hyperlink>
        </w:p>
        <w:p w:rsidR="00E26180" w:rsidRDefault="006E766A" w:rsidP="00E26180">
          <w:r>
            <w:fldChar w:fldCharType="end"/>
          </w:r>
        </w:p>
      </w:sdtContent>
    </w:sdt>
    <w:p w:rsidR="00E26180" w:rsidRDefault="00E26180" w:rsidP="00E26180">
      <w:r>
        <w:br w:type="page"/>
      </w:r>
    </w:p>
    <w:p w:rsidR="0086227B" w:rsidRPr="00E54798" w:rsidRDefault="000D10FB" w:rsidP="00954DC8">
      <w:pPr>
        <w:pStyle w:val="berschrift1"/>
        <w:rPr>
          <w:color w:val="auto"/>
        </w:rPr>
      </w:pPr>
      <w:bookmarkStart w:id="1" w:name="_Toc427745698"/>
      <w:r w:rsidRPr="00E54798">
        <w:rPr>
          <w:color w:val="auto"/>
        </w:rPr>
        <w:lastRenderedPageBreak/>
        <w:t>Beschreibung des Themas und zugehörige Lernziel</w:t>
      </w:r>
      <w:r w:rsidR="00530637">
        <w:rPr>
          <w:color w:val="auto"/>
        </w:rPr>
        <w:t>e</w:t>
      </w:r>
      <w:bookmarkEnd w:id="1"/>
    </w:p>
    <w:p w:rsidR="00132AD5" w:rsidRDefault="007409BF" w:rsidP="00530637">
      <w:r>
        <w:t xml:space="preserve">Aminosäuren sind der Grundbaustein von </w:t>
      </w:r>
      <w:r w:rsidR="00530637">
        <w:t>Proteine</w:t>
      </w:r>
      <w:r>
        <w:t>n</w:t>
      </w:r>
      <w:r w:rsidR="00530637">
        <w:t xml:space="preserve"> bzw. Eiweißstoffe</w:t>
      </w:r>
      <w:r>
        <w:t>n. Diese verbinden sich über eine Peptidbindung zu Peptiden, die ab einer Länge von 100 Aminosäuren als Proteine bezeichnet werden. Ami</w:t>
      </w:r>
      <w:r w:rsidR="003D3F47">
        <w:t>n</w:t>
      </w:r>
      <w:r>
        <w:t>osäuren tragen hierbei als Grundelement eine Carboxy-Gruppe sowie eine Aminogruppe. Die funktionellen Gruppen erklären somit deren Bezeichnung als „Amino-Säure“</w:t>
      </w:r>
      <w:r w:rsidR="00132AD5">
        <w:t>.</w:t>
      </w:r>
    </w:p>
    <w:p w:rsidR="00132AD5" w:rsidRDefault="00132AD5" w:rsidP="00132AD5">
      <w:pPr>
        <w:keepNext/>
        <w:jc w:val="center"/>
      </w:pPr>
      <w:r>
        <w:rPr>
          <w:noProof/>
          <w:lang w:eastAsia="de-DE"/>
        </w:rPr>
        <w:drawing>
          <wp:inline distT="0" distB="0" distL="0" distR="0">
            <wp:extent cx="991001" cy="7680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t.png"/>
                    <pic:cNvPicPr/>
                  </pic:nvPicPr>
                  <pic:blipFill>
                    <a:blip r:embed="rId10" cstate="print">
                      <a:extLst>
                        <a:ext uri="{28A0092B-C50C-407E-A947-70E740481C1C}">
                          <a14:useLocalDpi xmlns:a14="http://schemas.microsoft.com/office/drawing/2010/main"/>
                        </a:ext>
                      </a:extLst>
                    </a:blip>
                    <a:stretch>
                      <a:fillRect/>
                    </a:stretch>
                  </pic:blipFill>
                  <pic:spPr>
                    <a:xfrm>
                      <a:off x="0" y="0"/>
                      <a:ext cx="991001" cy="768025"/>
                    </a:xfrm>
                    <a:prstGeom prst="rect">
                      <a:avLst/>
                    </a:prstGeom>
                  </pic:spPr>
                </pic:pic>
              </a:graphicData>
            </a:graphic>
          </wp:inline>
        </w:drawing>
      </w:r>
    </w:p>
    <w:p w:rsidR="00132AD5" w:rsidRDefault="00132AD5" w:rsidP="00132AD5">
      <w:pPr>
        <w:pStyle w:val="Beschriftung"/>
        <w:jc w:val="center"/>
      </w:pPr>
      <w:r>
        <w:t xml:space="preserve">Abb. </w:t>
      </w:r>
      <w:r w:rsidR="006E766A">
        <w:fldChar w:fldCharType="begin"/>
      </w:r>
      <w:r w:rsidR="004179C1">
        <w:instrText xml:space="preserve"> SEQ Abb. \* ARABIC </w:instrText>
      </w:r>
      <w:r w:rsidR="006E766A">
        <w:fldChar w:fldCharType="separate"/>
      </w:r>
      <w:r w:rsidR="005F3F29">
        <w:rPr>
          <w:noProof/>
        </w:rPr>
        <w:t>1</w:t>
      </w:r>
      <w:r w:rsidR="006E766A">
        <w:rPr>
          <w:noProof/>
        </w:rPr>
        <w:fldChar w:fldCharType="end"/>
      </w:r>
      <w:r>
        <w:t>: Aufbau einer Aminosäure (R = Rest)</w:t>
      </w:r>
    </w:p>
    <w:p w:rsidR="00530637" w:rsidRDefault="007409BF" w:rsidP="00530637">
      <w:r>
        <w:t>In der Natur kommen 20 verschiedene Aminosäuren vor</w:t>
      </w:r>
      <w:r w:rsidR="000250A6">
        <w:t>, die durch ihre Reste unterschiedliche Eigenschaften aufweisen</w:t>
      </w:r>
      <w:r>
        <w:t>.</w:t>
      </w:r>
      <w:r w:rsidR="000250A6">
        <w:t xml:space="preserve"> So gibt es geladene/ungeladene, saure/alkalische, polare/unpolare Aminosäuren, die auch weitere Stickstoffatome oder Schwefelatome enthalte</w:t>
      </w:r>
      <w:r w:rsidR="003D3F47">
        <w:t>n</w:t>
      </w:r>
      <w:r w:rsidR="000250A6">
        <w:t xml:space="preserve"> können.</w:t>
      </w:r>
      <w:r>
        <w:t xml:space="preserve"> Die Bildung eines Dipeptids, was einer Kondensationsreaktion zweier Aminosäuren unter Abspaltung von Wasser entspricht, erfolgt durch einen nucleophilen Angriff des freien Elektronenpaares am Stickstoffatom der Aminogruppe. Dieses bindet an das elektronenarme Kohlenstoffatom an der Carboxy-Funktion der zweiten Aminosäure.</w:t>
      </w:r>
      <w:r w:rsidR="00132AD5">
        <w:t xml:space="preserve"> Es hat sich eine Peptidbindung ausgebildet.</w:t>
      </w:r>
      <w:r w:rsidR="00C35CC2">
        <w:t xml:space="preserve"> Die Abfolge der Aminosäuren wird als </w:t>
      </w:r>
      <w:r w:rsidR="00C35CC2" w:rsidRPr="00C35CC2">
        <w:t>Primärstruktur</w:t>
      </w:r>
      <w:r w:rsidR="00C35CC2">
        <w:t xml:space="preserve"> von Aminosäuren bezeichnet.</w:t>
      </w:r>
    </w:p>
    <w:p w:rsidR="00132AD5" w:rsidRDefault="007409BF" w:rsidP="00132AD5">
      <w:pPr>
        <w:keepNext/>
        <w:jc w:val="center"/>
      </w:pPr>
      <w:r>
        <w:rPr>
          <w:noProof/>
          <w:lang w:eastAsia="de-DE"/>
        </w:rPr>
        <w:drawing>
          <wp:inline distT="0" distB="0" distL="0" distR="0">
            <wp:extent cx="5416199" cy="77755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y gly.png"/>
                    <pic:cNvPicPr/>
                  </pic:nvPicPr>
                  <pic:blipFill>
                    <a:blip r:embed="rId11" cstate="print">
                      <a:extLst>
                        <a:ext uri="{28A0092B-C50C-407E-A947-70E740481C1C}">
                          <a14:useLocalDpi xmlns:a14="http://schemas.microsoft.com/office/drawing/2010/main"/>
                        </a:ext>
                      </a:extLst>
                    </a:blip>
                    <a:stretch>
                      <a:fillRect/>
                    </a:stretch>
                  </pic:blipFill>
                  <pic:spPr>
                    <a:xfrm>
                      <a:off x="0" y="0"/>
                      <a:ext cx="5416199" cy="777554"/>
                    </a:xfrm>
                    <a:prstGeom prst="rect">
                      <a:avLst/>
                    </a:prstGeom>
                  </pic:spPr>
                </pic:pic>
              </a:graphicData>
            </a:graphic>
          </wp:inline>
        </w:drawing>
      </w:r>
    </w:p>
    <w:p w:rsidR="007409BF" w:rsidRDefault="00132AD5" w:rsidP="00132AD5">
      <w:pPr>
        <w:pStyle w:val="Beschriftung"/>
        <w:jc w:val="center"/>
      </w:pPr>
      <w:r>
        <w:t xml:space="preserve">Abb. </w:t>
      </w:r>
      <w:r w:rsidR="006E766A">
        <w:fldChar w:fldCharType="begin"/>
      </w:r>
      <w:r w:rsidR="004179C1">
        <w:instrText xml:space="preserve"> SEQ Abb. \* ARABIC </w:instrText>
      </w:r>
      <w:r w:rsidR="006E766A">
        <w:fldChar w:fldCharType="separate"/>
      </w:r>
      <w:r w:rsidR="005F3F29">
        <w:rPr>
          <w:noProof/>
        </w:rPr>
        <w:t>2</w:t>
      </w:r>
      <w:r w:rsidR="006E766A">
        <w:rPr>
          <w:noProof/>
        </w:rPr>
        <w:fldChar w:fldCharType="end"/>
      </w:r>
      <w:r>
        <w:t>: Kondensationsreaktion zweier Aminosäure-Moleküle Glycin zum Dipeptid unter Abspaltung von Wasser.</w:t>
      </w:r>
    </w:p>
    <w:p w:rsidR="00132AD5" w:rsidRDefault="000250A6" w:rsidP="00132AD5">
      <w:r>
        <w:t>L</w:t>
      </w:r>
      <w:r w:rsidR="00132AD5">
        <w:t>ä</w:t>
      </w:r>
      <w:r>
        <w:t>ngere Peptide bzw. Proteine erhalten durch Wechselwirkungen zwischen Rückgratfunktionen oder den Resten eine räumliche</w:t>
      </w:r>
      <w:r w:rsidR="0041341B">
        <w:t xml:space="preserve"> Struktur: </w:t>
      </w:r>
      <w:r>
        <w:t>Im Rückgrat bilden sich zwischen den Stickstoffatomen und Hydroxy-Funktionen benachbarter Aminosäureketten</w:t>
      </w:r>
      <w:r w:rsidR="00C35CC2">
        <w:t xml:space="preserve"> Wasserstoffbrückenbindungen aus, die u.a. eine β-Faltblatt- oder α-Helix-Struktur</w:t>
      </w:r>
      <w:r w:rsidR="0041341B">
        <w:t xml:space="preserve"> </w:t>
      </w:r>
      <w:r w:rsidR="00C35CC2">
        <w:t xml:space="preserve">hervorrufen. Die sich ergebende räumliche Anordnung wird als Sekundärstruktur bezeichnet. </w:t>
      </w:r>
      <w:r w:rsidR="0041341B">
        <w:t xml:space="preserve">Im gleichen Protein kommen unterschiedliche Sekundärstrukturen vor, was davon abhängt welche Aminosäuren in den Bereichen vorliegen. </w:t>
      </w:r>
      <w:r w:rsidR="00C35CC2">
        <w:t xml:space="preserve">Die Reste der Aminosäuren können durch ionische Bindungen, Wasserstoffbrückenbindungen, Van-der-Waals-Wechselwirkungen und Disulfid-Brücken miteinander wechselwirken. Die Elemente der Sekundärstruktur richten sich hierdurch räumlich aus, was als Tertiärstruktur bezeichnet wird. Es </w:t>
      </w:r>
      <w:r w:rsidR="00662833">
        <w:t xml:space="preserve">bilden </w:t>
      </w:r>
      <w:r w:rsidR="00C35CC2">
        <w:t>sich Makromoleküle mit einer spezifischen Struktur</w:t>
      </w:r>
      <w:r w:rsidR="00662833">
        <w:t>,</w:t>
      </w:r>
      <w:r w:rsidR="009452BF">
        <w:t xml:space="preserve"> die sich wiederum durch die gleichen Bindungen und Wechselwirkungen an andere Proteine anlagern können. Diese Protein</w:t>
      </w:r>
      <w:r w:rsidR="00EA32F7">
        <w:t>komplexe</w:t>
      </w:r>
      <w:r w:rsidR="009452BF">
        <w:t xml:space="preserve"> werden als Quartärstruktur bezeichnet.</w:t>
      </w:r>
    </w:p>
    <w:p w:rsidR="00BF3982" w:rsidRDefault="00BF3982" w:rsidP="00132AD5">
      <w:r>
        <w:lastRenderedPageBreak/>
        <w:t>Im Kerncurriculum findet sich das Thema der Eiweißstoffe im Themenfeld „Chemie und Ernährung“ im Kursthema „Naturstoffe chemisch betrachtet“ wieder. Hierzu gehören die Lernziele, dass die SuS neben Fetten und Kohlenhydraten Proteine nachweisen und auf die Untersuchungen von Nahrungsmitteln angewendet werden. Hierbei werden die Eigenschaften von Proteine</w:t>
      </w:r>
      <w:r w:rsidR="003D3F47">
        <w:t>n</w:t>
      </w:r>
      <w:r>
        <w:t xml:space="preserve"> „experimentell untersucht und durch den molekularen Aufbau gedeutet“. Die SuS</w:t>
      </w:r>
      <w:r w:rsidR="004D468F">
        <w:t>…</w:t>
      </w:r>
    </w:p>
    <w:p w:rsidR="00BF3982" w:rsidRDefault="00BF3982" w:rsidP="00972362">
      <w:pPr>
        <w:pStyle w:val="Listenabsatz"/>
        <w:numPr>
          <w:ilvl w:val="0"/>
          <w:numId w:val="22"/>
        </w:numPr>
      </w:pPr>
      <w:r>
        <w:t>klassifizieren Proteine (Basiskonzept Stoff-Teilchen</w:t>
      </w:r>
      <w:r w:rsidR="00972362">
        <w:t>, Kompetenzbereich Fachwissen</w:t>
      </w:r>
      <w:r>
        <w:t>)</w:t>
      </w:r>
      <w:r w:rsidR="00D64F71">
        <w:t>;</w:t>
      </w:r>
    </w:p>
    <w:p w:rsidR="00972362" w:rsidRDefault="00972362" w:rsidP="00972362">
      <w:pPr>
        <w:pStyle w:val="Listenabsatz"/>
        <w:numPr>
          <w:ilvl w:val="0"/>
          <w:numId w:val="22"/>
        </w:numPr>
      </w:pPr>
      <w:r>
        <w:t>untersuchen experimentell die Eigenschaft von Naturstoffen (Basiskonzept Stoff-Teilchen, Kompetenzbereich Erkenntnisgewinnung/Fachmethoden).</w:t>
      </w:r>
    </w:p>
    <w:p w:rsidR="00972362" w:rsidRDefault="00972362" w:rsidP="00972362">
      <w:r>
        <w:t>Dazu werden in den folgenden Experimenten Proteine durch die Biuret-Probe nachgewiesen, wobei die Peptidbindung genauer untersucht wird. Des Weiteren werden die intramolekularen, strukturgebenden Wechselwirkungen anhand der Proteinfällung untersucht.</w:t>
      </w:r>
    </w:p>
    <w:p w:rsidR="00662833" w:rsidRPr="00132AD5" w:rsidRDefault="00662833" w:rsidP="00662833">
      <w:pPr>
        <w:ind w:left="851" w:hanging="851"/>
      </w:pPr>
      <w:r w:rsidRPr="005F3F29">
        <w:rPr>
          <w:lang w:val="en-US"/>
        </w:rPr>
        <w:t>Quelle:</w:t>
      </w:r>
      <w:r w:rsidRPr="005F3F29">
        <w:rPr>
          <w:lang w:val="en-US"/>
        </w:rPr>
        <w:tab/>
        <w:t xml:space="preserve">Campbell, N., &amp; Reece, J. (2003). </w:t>
      </w:r>
      <w:r w:rsidRPr="00662833">
        <w:rPr>
          <w:i/>
          <w:iCs/>
        </w:rPr>
        <w:t>Biologie</w:t>
      </w:r>
      <w:r>
        <w:t xml:space="preserve"> (6. Aufl. ed.). Heidelberg: </w:t>
      </w:r>
      <w:r w:rsidRPr="00662833">
        <w:t xml:space="preserve">Spektrum. </w:t>
      </w:r>
    </w:p>
    <w:p w:rsidR="00E51037" w:rsidRDefault="00E51037" w:rsidP="00E360AC">
      <w:pPr>
        <w:pStyle w:val="berschrift1"/>
        <w:suppressAutoHyphens/>
        <w:ind w:left="431" w:hanging="431"/>
      </w:pPr>
      <w:bookmarkStart w:id="2" w:name="_Toc427745699"/>
      <w:r>
        <w:t>R</w:t>
      </w:r>
      <w:r w:rsidR="00530637">
        <w:t xml:space="preserve">elevanz des Themas für SuS der 11. und 12. Jahrgangsstufe </w:t>
      </w:r>
      <w:r w:rsidR="002F25D2">
        <w:t>und didaktische Reduktion</w:t>
      </w:r>
      <w:bookmarkEnd w:id="2"/>
    </w:p>
    <w:p w:rsidR="00972362" w:rsidRDefault="00EE3111" w:rsidP="00E51037">
      <w:pPr>
        <w:rPr>
          <w:color w:val="auto"/>
        </w:rPr>
      </w:pPr>
      <w:r>
        <w:rPr>
          <w:color w:val="auto"/>
        </w:rPr>
        <w:t>Proteine stellen einen sehr wichtigen Naturstoff dar und sind Grundlage für eine ausgewogene Ernährung. Im Sport werden Nahrungsergänzungsmittel u.a. als Proteinshakes angeboten, die Muskelaufbau fördern solle</w:t>
      </w:r>
      <w:r w:rsidR="009A3DA2">
        <w:rPr>
          <w:color w:val="auto"/>
        </w:rPr>
        <w:t>n. Eine k</w:t>
      </w:r>
      <w:r>
        <w:rPr>
          <w:color w:val="auto"/>
        </w:rPr>
        <w:t xml:space="preserve">ohlenhydratarme aber proteinreiche Nahrung wird hierzu propagiert. Zu entdecken, warum eine proteinreiche Ernährung förderlich sein kann, aber auch welche Gefahren sich dahinter verbergen können, ist für die SuS interessant. In den meisten Nahrungsmitteln befinden sich Proteine, die verdaut und in Aminosäuren zerlegt </w:t>
      </w:r>
      <w:r w:rsidR="003D3F47">
        <w:rPr>
          <w:color w:val="auto"/>
        </w:rPr>
        <w:t xml:space="preserve">und </w:t>
      </w:r>
      <w:r>
        <w:rPr>
          <w:color w:val="auto"/>
        </w:rPr>
        <w:t>s</w:t>
      </w:r>
      <w:r w:rsidR="0027504D">
        <w:rPr>
          <w:color w:val="auto"/>
        </w:rPr>
        <w:t>chließlich</w:t>
      </w:r>
      <w:r>
        <w:rPr>
          <w:color w:val="auto"/>
        </w:rPr>
        <w:t xml:space="preserve"> wieder in anderer Reihenfolge zusammengesetzt werden</w:t>
      </w:r>
      <w:r w:rsidR="003D3F47">
        <w:rPr>
          <w:color w:val="auto"/>
        </w:rPr>
        <w:t>,</w:t>
      </w:r>
      <w:r w:rsidR="0027504D">
        <w:rPr>
          <w:color w:val="auto"/>
        </w:rPr>
        <w:t xml:space="preserve"> </w:t>
      </w:r>
      <w:r>
        <w:rPr>
          <w:color w:val="auto"/>
        </w:rPr>
        <w:t>und uns am Leben erhalten. Den Prozess der Proteinzersetzung und –Wiederaufbaus zu verstehen und fächerübergreifend zu betrachten</w:t>
      </w:r>
      <w:r w:rsidR="00B1334B">
        <w:rPr>
          <w:color w:val="auto"/>
        </w:rPr>
        <w:t xml:space="preserve"> sowie </w:t>
      </w:r>
      <w:r>
        <w:rPr>
          <w:color w:val="auto"/>
        </w:rPr>
        <w:t>die chemischen Zusammenhänge zu verstehen, kann den SuS helfen zu bewerten, wie sie sich gut ernähren und sportliche Aktivitäten unterstützen können, ohne sich zu gefährden.</w:t>
      </w:r>
      <w:r w:rsidR="00972362">
        <w:rPr>
          <w:color w:val="auto"/>
        </w:rPr>
        <w:t xml:space="preserve"> Alle Lebewesen </w:t>
      </w:r>
      <w:r w:rsidR="00537D90">
        <w:rPr>
          <w:color w:val="auto"/>
        </w:rPr>
        <w:t>codieren in ihrem Erbgut</w:t>
      </w:r>
      <w:r w:rsidR="00972362">
        <w:rPr>
          <w:color w:val="auto"/>
        </w:rPr>
        <w:t xml:space="preserve"> </w:t>
      </w:r>
      <w:r w:rsidR="00537D90">
        <w:rPr>
          <w:color w:val="auto"/>
        </w:rPr>
        <w:t>für Genprodukte</w:t>
      </w:r>
      <w:r w:rsidR="00972362">
        <w:rPr>
          <w:color w:val="auto"/>
        </w:rPr>
        <w:t xml:space="preserve">. Diese Genprodukte sind Proteine bzw. Enzyme. Diese ermöglichen </w:t>
      </w:r>
      <w:r w:rsidR="00537D90">
        <w:rPr>
          <w:color w:val="auto"/>
        </w:rPr>
        <w:t xml:space="preserve">folglich </w:t>
      </w:r>
      <w:r w:rsidR="00972362">
        <w:rPr>
          <w:color w:val="auto"/>
        </w:rPr>
        <w:t>auf grundlegender Ebene das Leben</w:t>
      </w:r>
      <w:r w:rsidR="00537D90">
        <w:rPr>
          <w:color w:val="auto"/>
        </w:rPr>
        <w:t xml:space="preserve">, welches auf der Biosynthese von Proteinen </w:t>
      </w:r>
      <w:r>
        <w:rPr>
          <w:color w:val="auto"/>
        </w:rPr>
        <w:t>beruht.</w:t>
      </w:r>
      <w:r w:rsidR="0027504D">
        <w:rPr>
          <w:color w:val="auto"/>
        </w:rPr>
        <w:t xml:space="preserve"> Diesen zentralen Grundstein des Lebens beschreiben zu können, ist ebenfalls sehr interessant.</w:t>
      </w:r>
    </w:p>
    <w:p w:rsidR="0027504D" w:rsidRDefault="0027504D" w:rsidP="00E51037">
      <w:pPr>
        <w:rPr>
          <w:color w:val="auto"/>
        </w:rPr>
      </w:pPr>
      <w:r>
        <w:rPr>
          <w:color w:val="auto"/>
        </w:rPr>
        <w:t xml:space="preserve">Um die chemischen Prozesse zu verstehen benötigen die SuS gute Grundlagen im Bereich der organischen Chemie. Diese werden benötigt, um funktionelle Gruppen benennen und die Reaktionen in ihrem Mechanismus verstehen zu können. Die didaktische Reduktion besteht darin, den Mechanismus und Bindungseigenschaften anschaulich und nicht nur formal darzustellen. Hierzu </w:t>
      </w:r>
      <w:r>
        <w:rPr>
          <w:color w:val="auto"/>
        </w:rPr>
        <w:lastRenderedPageBreak/>
        <w:t>bietet es sich an mit Molekülbaukästen zu arbeiten.</w:t>
      </w:r>
      <w:r w:rsidR="004669F1">
        <w:rPr>
          <w:color w:val="auto"/>
        </w:rPr>
        <w:t xml:space="preserve"> Außerdem werden kei</w:t>
      </w:r>
      <w:bookmarkStart w:id="3" w:name="_Toc425776595"/>
      <w:bookmarkEnd w:id="3"/>
      <w:r w:rsidR="004669F1">
        <w:rPr>
          <w:color w:val="auto"/>
        </w:rPr>
        <w:t>ne Stereochemischen Aspekte diskutiert.</w:t>
      </w:r>
    </w:p>
    <w:bookmarkStart w:id="4" w:name="_Toc427745700"/>
    <w:p w:rsidR="0086227B" w:rsidRDefault="003F60C3" w:rsidP="0086227B">
      <w:pPr>
        <w:pStyle w:val="berschrift1"/>
      </w:pPr>
      <w:r>
        <w:rPr>
          <w:noProof/>
          <w:lang w:eastAsia="de-DE"/>
        </w:rPr>
        <mc:AlternateContent>
          <mc:Choice Requires="wps">
            <w:drawing>
              <wp:anchor distT="0" distB="0" distL="114300" distR="114300" simplePos="0" relativeHeight="251731968" behindDoc="0" locked="0" layoutInCell="1" allowOverlap="1" wp14:anchorId="5C671DCE">
                <wp:simplePos x="0" y="0"/>
                <wp:positionH relativeFrom="column">
                  <wp:posOffset>-70485</wp:posOffset>
                </wp:positionH>
                <wp:positionV relativeFrom="paragraph">
                  <wp:posOffset>619125</wp:posOffset>
                </wp:positionV>
                <wp:extent cx="5900420" cy="1686560"/>
                <wp:effectExtent l="0" t="0" r="24130" b="27940"/>
                <wp:wrapSquare wrapText="bothSides"/>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6865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334B" w:rsidRDefault="00B1334B" w:rsidP="000D10FB">
                            <w:pPr>
                              <w:rPr>
                                <w:color w:val="auto"/>
                              </w:rPr>
                            </w:pPr>
                            <w:r>
                              <w:rPr>
                                <w:color w:val="auto"/>
                              </w:rPr>
                              <w:t>Die Biuret-Probe beruht auf einer Komplexbildung, bei der sich ein violetter Komplex aus Kupfer(II)-Ion als Zentralteilchen und Peptidbindungen als Liganden bildet. Als Vorwissen sollten zuvor koordinative Bindungen Teil des Unterrichts gewesen sein.</w:t>
                            </w:r>
                          </w:p>
                          <w:p w:rsidR="00B1334B" w:rsidRPr="00F31EBF" w:rsidRDefault="00B1334B" w:rsidP="000D10FB">
                            <w:pPr>
                              <w:rPr>
                                <w:color w:val="auto"/>
                              </w:rPr>
                            </w:pPr>
                            <w:r>
                              <w:rPr>
                                <w:color w:val="auto"/>
                              </w:rPr>
                              <w:t>Die 10%ige Natriumhydroxid-Lösung sollte vorbereitet werden, da beim Umgang mit Natriumhydroxid-Plätzchen eine Ersatzstoffprüfung erfolgen muss. Diese</w:t>
                            </w:r>
                            <w:r w:rsidR="00662833">
                              <w:rPr>
                                <w:color w:val="auto"/>
                              </w:rPr>
                              <w:t>r</w:t>
                            </w:r>
                            <w:r>
                              <w:rPr>
                                <w:color w:val="auto"/>
                              </w:rPr>
                              <w:t xml:space="preserve"> Schritt sollte der Klasse transparent gemacht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671DCE" id="Text Box 60" o:spid="_x0000_s1027" type="#_x0000_t202" style="position:absolute;left:0;text-align:left;margin-left:-5.55pt;margin-top:48.75pt;width:464.6pt;height:132.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" fillcolor="white [3201]" strokecolor="#4bacc6 [3208]" strokeweight="1pt">
                <v:stroke dashstyle="dash"/>
                <v:shadow color="#868686"/>
                <v:textbox>
                  <w:txbxContent>
                    <w:p w:rsidR="00B1334B" w:rsidRDefault="00B1334B" w:rsidP="000D10FB">
                      <w:pPr>
                        <w:rPr>
                          <w:color w:val="auto"/>
                        </w:rPr>
                      </w:pPr>
                      <w:r>
                        <w:rPr>
                          <w:color w:val="auto"/>
                        </w:rPr>
                        <w:t>Die Biuret-Probe beruht auf einer Komplexbildung, bei der sich ein violetter Komplex aus Kupfer(II)-Ion als Zentralteilchen und Peptidbindungen als Liganden bildet. Als Vorwissen sollten zuvor koordinative Bindungen Teil des Unterrichts gewesen sein.</w:t>
                      </w:r>
                    </w:p>
                    <w:p w:rsidR="00B1334B" w:rsidRPr="00F31EBF" w:rsidRDefault="00B1334B" w:rsidP="000D10FB">
                      <w:pPr>
                        <w:rPr>
                          <w:color w:val="auto"/>
                        </w:rPr>
                      </w:pPr>
                      <w:r>
                        <w:rPr>
                          <w:color w:val="auto"/>
                        </w:rPr>
                        <w:t>Die 10%ige Natriumhydroxid-Lösung sollte vorbereitet werden, da beim Umgang mit Natriumhydroxid-Plätzchen eine Ersatzstoffprüfung erfolgen muss. Diese</w:t>
                      </w:r>
                      <w:r w:rsidR="00662833">
                        <w:rPr>
                          <w:color w:val="auto"/>
                        </w:rPr>
                        <w:t>r</w:t>
                      </w:r>
                      <w:r>
                        <w:rPr>
                          <w:color w:val="auto"/>
                        </w:rPr>
                        <w:t xml:space="preserve"> Schritt sollte der Klasse transparent gemacht werden.</w:t>
                      </w:r>
                    </w:p>
                  </w:txbxContent>
                </v:textbox>
                <w10:wrap type="square"/>
              </v:shape>
            </w:pict>
          </mc:Fallback>
        </mc:AlternateContent>
      </w:r>
      <w:r w:rsidR="0027504D">
        <w:t>Schülerversuch</w:t>
      </w:r>
      <w:r w:rsidR="00F31EBF">
        <w:t xml:space="preserve"> – </w:t>
      </w:r>
      <w:r w:rsidR="0027504D">
        <w:t>V1 Proteinnachweis durch die Biuret-Probe</w:t>
      </w:r>
      <w:bookmarkEnd w:id="4"/>
    </w:p>
    <w:p w:rsidR="00D76F6F" w:rsidRPr="005812F9" w:rsidRDefault="00D76F6F" w:rsidP="005812F9">
      <w:pPr>
        <w:spacing w:line="240" w:lineRule="auto"/>
        <w:rPr>
          <w:sz w:val="8"/>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4179C1">
        <w:tc>
          <w:tcPr>
            <w:tcW w:w="9322" w:type="dxa"/>
            <w:gridSpan w:val="9"/>
            <w:shd w:val="clear" w:color="auto" w:fill="4F81BD"/>
            <w:vAlign w:val="center"/>
          </w:tcPr>
          <w:p w:rsidR="00D76F6F" w:rsidRPr="00F31EBF" w:rsidRDefault="00D76F6F" w:rsidP="004179C1">
            <w:pPr>
              <w:spacing w:after="0"/>
              <w:jc w:val="center"/>
              <w:rPr>
                <w:b/>
                <w:bCs/>
                <w:color w:val="FFFFFF" w:themeColor="background1"/>
              </w:rPr>
            </w:pPr>
            <w:r w:rsidRPr="00F31EBF">
              <w:rPr>
                <w:b/>
                <w:bCs/>
                <w:color w:val="FFFFFF" w:themeColor="background1"/>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5812F9" w:rsidRDefault="005812F9" w:rsidP="005812F9">
            <w:pPr>
              <w:spacing w:after="0" w:line="276" w:lineRule="auto"/>
              <w:jc w:val="center"/>
              <w:rPr>
                <w:bCs/>
                <w:sz w:val="20"/>
                <w:szCs w:val="20"/>
              </w:rPr>
            </w:pPr>
            <w:r w:rsidRPr="005812F9">
              <w:rPr>
                <w:bCs/>
                <w:sz w:val="20"/>
                <w:szCs w:val="20"/>
              </w:rPr>
              <w:t>Kupfer</w:t>
            </w:r>
            <w:r>
              <w:rPr>
                <w:bCs/>
                <w:sz w:val="20"/>
                <w:szCs w:val="20"/>
              </w:rPr>
              <w:t>(II)-sulfat Pentahydrat</w:t>
            </w:r>
          </w:p>
        </w:tc>
        <w:tc>
          <w:tcPr>
            <w:tcW w:w="3177" w:type="dxa"/>
            <w:gridSpan w:val="3"/>
            <w:tcBorders>
              <w:top w:val="single" w:sz="8" w:space="0" w:color="4F81BD"/>
              <w:bottom w:val="single" w:sz="8" w:space="0" w:color="4F81BD"/>
            </w:tcBorders>
            <w:shd w:val="clear" w:color="auto" w:fill="auto"/>
            <w:vAlign w:val="center"/>
          </w:tcPr>
          <w:p w:rsidR="00D76F6F" w:rsidRPr="005812F9" w:rsidRDefault="00745818" w:rsidP="004179C1">
            <w:pPr>
              <w:spacing w:after="0"/>
              <w:jc w:val="center"/>
              <w:rPr>
                <w:sz w:val="20"/>
                <w:szCs w:val="20"/>
              </w:rPr>
            </w:pPr>
            <w:r>
              <w:rPr>
                <w:sz w:val="20"/>
                <w:szCs w:val="20"/>
              </w:rPr>
              <w:t>H: 302, 319, 315,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5812F9" w:rsidRDefault="00745818" w:rsidP="00D76F6F">
            <w:pPr>
              <w:spacing w:after="0"/>
              <w:jc w:val="center"/>
              <w:rPr>
                <w:sz w:val="20"/>
                <w:szCs w:val="20"/>
              </w:rPr>
            </w:pPr>
            <w:r>
              <w:rPr>
                <w:sz w:val="20"/>
                <w:szCs w:val="20"/>
              </w:rPr>
              <w:t>P: 273, 302+352, 305+351+338</w:t>
            </w:r>
          </w:p>
        </w:tc>
      </w:tr>
      <w:tr w:rsidR="00D76F6F" w:rsidRPr="009C5E28" w:rsidTr="00D76F6F">
        <w:trPr>
          <w:trHeight w:val="434"/>
        </w:trPr>
        <w:tc>
          <w:tcPr>
            <w:tcW w:w="3027" w:type="dxa"/>
            <w:gridSpan w:val="3"/>
            <w:shd w:val="clear" w:color="auto" w:fill="auto"/>
            <w:vAlign w:val="center"/>
          </w:tcPr>
          <w:p w:rsidR="00D76F6F" w:rsidRPr="005812F9" w:rsidRDefault="005812F9" w:rsidP="005812F9">
            <w:pPr>
              <w:spacing w:after="0" w:line="276" w:lineRule="auto"/>
              <w:jc w:val="center"/>
              <w:rPr>
                <w:bCs/>
                <w:sz w:val="20"/>
                <w:szCs w:val="20"/>
              </w:rPr>
            </w:pPr>
            <w:r>
              <w:rPr>
                <w:bCs/>
                <w:sz w:val="20"/>
                <w:szCs w:val="20"/>
              </w:rPr>
              <w:t>Natriumhydroxid</w:t>
            </w:r>
          </w:p>
        </w:tc>
        <w:tc>
          <w:tcPr>
            <w:tcW w:w="3177" w:type="dxa"/>
            <w:gridSpan w:val="3"/>
            <w:shd w:val="clear" w:color="auto" w:fill="auto"/>
            <w:vAlign w:val="center"/>
          </w:tcPr>
          <w:p w:rsidR="00D76F6F" w:rsidRPr="005812F9" w:rsidRDefault="00C13474" w:rsidP="004179C1">
            <w:pPr>
              <w:pStyle w:val="Beschriftung"/>
              <w:spacing w:after="0"/>
              <w:jc w:val="center"/>
              <w:rPr>
                <w:sz w:val="20"/>
                <w:szCs w:val="20"/>
              </w:rPr>
            </w:pPr>
            <w:r>
              <w:rPr>
                <w:sz w:val="20"/>
                <w:szCs w:val="20"/>
              </w:rPr>
              <w:t>H: 314, 290</w:t>
            </w:r>
          </w:p>
        </w:tc>
        <w:tc>
          <w:tcPr>
            <w:tcW w:w="3118" w:type="dxa"/>
            <w:gridSpan w:val="3"/>
            <w:shd w:val="clear" w:color="auto" w:fill="auto"/>
            <w:vAlign w:val="center"/>
          </w:tcPr>
          <w:p w:rsidR="00D76F6F" w:rsidRPr="005812F9" w:rsidRDefault="00C13474" w:rsidP="004179C1">
            <w:pPr>
              <w:pStyle w:val="Beschriftung"/>
              <w:spacing w:after="0"/>
              <w:jc w:val="center"/>
              <w:rPr>
                <w:sz w:val="20"/>
                <w:szCs w:val="20"/>
              </w:rPr>
            </w:pPr>
            <w:r>
              <w:rPr>
                <w:sz w:val="20"/>
                <w:szCs w:val="20"/>
              </w:rPr>
              <w:t>P: 280, 301+330+331, 305+351+338, 308+310</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C13474">
        <w:t>3 Reagenzgläser, Bechergläser</w:t>
      </w:r>
      <w:r w:rsidR="002E5491">
        <w:t>, Reagenzglasstopfen</w:t>
      </w:r>
    </w:p>
    <w:p w:rsidR="008E1A25" w:rsidRPr="00ED07C2" w:rsidRDefault="00C13474" w:rsidP="00C13474">
      <w:pPr>
        <w:ind w:left="1980" w:hanging="1980"/>
      </w:pPr>
      <w:r>
        <w:t>Chemikalien:</w:t>
      </w:r>
      <w:r>
        <w:tab/>
      </w:r>
      <w:r w:rsidR="005812F9">
        <w:t>Kupfer(II)</w:t>
      </w:r>
      <w:r w:rsidR="00320877">
        <w:t>-</w:t>
      </w:r>
      <w:r w:rsidR="00B1334B">
        <w:t>sulfat-</w:t>
      </w:r>
      <w:r w:rsidR="005812F9">
        <w:t>Pentahydrat-Lösung</w:t>
      </w:r>
      <w:r w:rsidR="00EC1C55">
        <w:t> </w:t>
      </w:r>
      <w:r w:rsidR="005812F9">
        <w:t>(10</w:t>
      </w:r>
      <w:r w:rsidR="00171731">
        <w:t> </w:t>
      </w:r>
      <w:r w:rsidR="005812F9">
        <w:t>%), Natriumhydroxid-Lösung (10</w:t>
      </w:r>
      <w:r w:rsidR="00171731">
        <w:t> </w:t>
      </w:r>
      <w:r w:rsidR="005812F9">
        <w:t xml:space="preserve">%), </w:t>
      </w:r>
      <w:r>
        <w:t>2 p</w:t>
      </w:r>
      <w:r w:rsidR="005812F9">
        <w:t>roteinhaltige Lösung</w:t>
      </w:r>
      <w:r>
        <w:t>en</w:t>
      </w:r>
      <w:r w:rsidR="005812F9">
        <w:t xml:space="preserve"> (aus Gelatine, Eiklar etc.)</w:t>
      </w:r>
      <w:r>
        <w:t>, dest. Wasser</w:t>
      </w:r>
    </w:p>
    <w:p w:rsidR="002E5491" w:rsidRDefault="00C13474" w:rsidP="004179C1">
      <w:pPr>
        <w:ind w:left="1980" w:hanging="1980"/>
        <w:rPr>
          <w:color w:val="auto"/>
        </w:rPr>
      </w:pPr>
      <w:r>
        <w:t xml:space="preserve">Durchführung: </w:t>
      </w:r>
      <w:r w:rsidR="008E1A25">
        <w:tab/>
      </w:r>
      <w:r w:rsidR="00662833">
        <w:rPr>
          <w:color w:val="auto"/>
        </w:rPr>
        <w:t xml:space="preserve">Zur Herstellung der </w:t>
      </w:r>
      <w:r w:rsidR="002E5491">
        <w:rPr>
          <w:color w:val="auto"/>
        </w:rPr>
        <w:t xml:space="preserve">vorbereiteten </w:t>
      </w:r>
      <w:r w:rsidR="00662833">
        <w:rPr>
          <w:color w:val="auto"/>
        </w:rPr>
        <w:t xml:space="preserve">Eiklar-Lösung wird das Eiklar eines Eis mit dest. Wasser, in dem 1 g Natriumchlorid gelöst ist, auf 100 mL verdünnt. </w:t>
      </w:r>
    </w:p>
    <w:p w:rsidR="004179C1" w:rsidRDefault="002E5491" w:rsidP="009A3DA2">
      <w:pPr>
        <w:ind w:left="1980"/>
      </w:pPr>
      <w:r>
        <w:rPr>
          <w:color w:val="auto"/>
        </w:rPr>
        <w:t xml:space="preserve">Zunächst wird die </w:t>
      </w:r>
      <w:r w:rsidR="00662833">
        <w:rPr>
          <w:color w:val="auto"/>
        </w:rPr>
        <w:t>Gelatine-Lösung wird mit 2 Esslöffeln Gelatine-Pulver auf 100 mL dest. Wasser angesetzt</w:t>
      </w:r>
      <w:r>
        <w:rPr>
          <w:color w:val="auto"/>
        </w:rPr>
        <w:t xml:space="preserve">. </w:t>
      </w:r>
      <w:r>
        <w:t>Anschließend</w:t>
      </w:r>
      <w:r w:rsidR="00C13474">
        <w:t xml:space="preserve"> w</w:t>
      </w:r>
      <w:r w:rsidR="00171731">
        <w:t xml:space="preserve">erden </w:t>
      </w:r>
      <w:r w:rsidR="00AF239F">
        <w:t>5 </w:t>
      </w:r>
      <w:r w:rsidR="00171731">
        <w:t>mL</w:t>
      </w:r>
      <w:r w:rsidR="00C13474">
        <w:t xml:space="preserve"> eine</w:t>
      </w:r>
      <w:r w:rsidR="00171731">
        <w:t>r</w:t>
      </w:r>
      <w:r w:rsidR="00C13474">
        <w:t xml:space="preserve"> 10</w:t>
      </w:r>
      <w:r w:rsidR="00171731">
        <w:t> </w:t>
      </w:r>
      <w:r w:rsidR="00C13474">
        <w:t>%ige</w:t>
      </w:r>
      <w:r w:rsidR="00171731">
        <w:t>n</w:t>
      </w:r>
      <w:r w:rsidR="00C13474">
        <w:t xml:space="preserve"> Ku</w:t>
      </w:r>
      <w:r w:rsidR="004179C1">
        <w:t>p</w:t>
      </w:r>
      <w:r w:rsidR="00C13474">
        <w:t>fer(II)-</w:t>
      </w:r>
      <w:r w:rsidR="00B1334B">
        <w:t>sulfat-</w:t>
      </w:r>
      <w:r w:rsidR="00C13474">
        <w:t>Pentahydrat-Lösung angesetzt. In 3</w:t>
      </w:r>
      <w:r w:rsidR="00AF239F">
        <w:t> </w:t>
      </w:r>
      <w:r w:rsidR="00320877">
        <w:t xml:space="preserve">Reagenzgläsern werden </w:t>
      </w:r>
      <w:r w:rsidR="004179C1">
        <w:t>ca. 2</w:t>
      </w:r>
      <w:r w:rsidR="00AF239F">
        <w:t> </w:t>
      </w:r>
      <w:r w:rsidR="004179C1">
        <w:t xml:space="preserve">mL </w:t>
      </w:r>
      <w:r w:rsidR="00C13474">
        <w:t xml:space="preserve">Eiklar-Lösung, eine Gelatine-Lösung und als Blindprobe </w:t>
      </w:r>
      <w:r w:rsidR="004179C1">
        <w:t>dest. Wasser vor</w:t>
      </w:r>
      <w:r w:rsidR="00320877">
        <w:t>gelegt</w:t>
      </w:r>
      <w:r w:rsidR="004179C1">
        <w:t xml:space="preserve">. Zu den jeweiligen Lösungen </w:t>
      </w:r>
      <w:r w:rsidR="009A3DA2">
        <w:t>wird</w:t>
      </w:r>
      <w:r w:rsidR="004179C1">
        <w:t xml:space="preserve"> das gleiche Volumen an </w:t>
      </w:r>
      <w:r w:rsidR="00047445">
        <w:t xml:space="preserve">bereitgestellter </w:t>
      </w:r>
      <w:r w:rsidR="004179C1">
        <w:t>Natriumhydroxid-Lösung</w:t>
      </w:r>
      <w:r w:rsidR="00171731">
        <w:t xml:space="preserve"> </w:t>
      </w:r>
      <w:r w:rsidR="009A3DA2">
        <w:t xml:space="preserve">hinzugegeben </w:t>
      </w:r>
      <w:r w:rsidR="00171731">
        <w:t xml:space="preserve">und </w:t>
      </w:r>
      <w:r w:rsidR="009A3DA2">
        <w:t xml:space="preserve">durch Schütteln </w:t>
      </w:r>
      <w:r w:rsidR="00171731">
        <w:t xml:space="preserve">vermischt. Anschließend </w:t>
      </w:r>
      <w:r w:rsidR="00AF239F">
        <w:t>werden in jedes Reagenzglas 3 Tropfen der Kupfer(II)-sulfat-Lösung hinzugegeben und erneut geschüttelt.</w:t>
      </w:r>
    </w:p>
    <w:p w:rsidR="008E1A25" w:rsidRDefault="008E1A25" w:rsidP="008E1A25">
      <w:pPr>
        <w:tabs>
          <w:tab w:val="left" w:pos="1701"/>
          <w:tab w:val="left" w:pos="1985"/>
        </w:tabs>
        <w:ind w:left="1980" w:hanging="1980"/>
      </w:pPr>
      <w:r>
        <w:t>Beobachtung:</w:t>
      </w:r>
      <w:r>
        <w:tab/>
      </w:r>
      <w:r>
        <w:tab/>
      </w:r>
      <w:r>
        <w:tab/>
      </w:r>
      <w:r w:rsidR="00AF239F">
        <w:t>Bei der Zugabe der hellblauen Kupfer(II)-sulfat-Lösung bildet sich zunächst ein blauer Niederschlag</w:t>
      </w:r>
      <w:r w:rsidR="002E5491">
        <w:t xml:space="preserve"> (Abb. 3, mitte)</w:t>
      </w:r>
      <w:r w:rsidR="00AF239F">
        <w:t xml:space="preserve">. Dieser löst </w:t>
      </w:r>
      <w:r w:rsidR="002E5491">
        <w:t xml:space="preserve">sich bei den Proben mit proteinhaltiger Lösung </w:t>
      </w:r>
      <w:r w:rsidR="00AF239F">
        <w:t xml:space="preserve">nach Schütteln wieder und es </w:t>
      </w:r>
      <w:r w:rsidR="00047445">
        <w:t>findet eine Farbwechsel statt – es bildet sich</w:t>
      </w:r>
      <w:r w:rsidR="00AF239F">
        <w:t xml:space="preserve"> eine violette Lösung</w:t>
      </w:r>
      <w:r w:rsidR="002E5491">
        <w:t xml:space="preserve"> (Abb. 3, rechts)</w:t>
      </w:r>
      <w:r w:rsidR="00047445">
        <w:t>. In der Blindprobe bleibt der blaue Niederschlag erhalten</w:t>
      </w:r>
      <w:r w:rsidR="002E5491">
        <w:t xml:space="preserve"> (Abb. 3, links)</w:t>
      </w:r>
      <w:r w:rsidR="00047445">
        <w:t>.</w:t>
      </w:r>
    </w:p>
    <w:p w:rsidR="001E7A33" w:rsidRDefault="003A5858" w:rsidP="001E7A33">
      <w:pPr>
        <w:keepNext/>
        <w:tabs>
          <w:tab w:val="left" w:pos="1701"/>
          <w:tab w:val="left" w:pos="1985"/>
        </w:tabs>
        <w:ind w:left="1980" w:hanging="1980"/>
        <w:jc w:val="center"/>
      </w:pPr>
      <w:r w:rsidRPr="003A5858">
        <w:rPr>
          <w:noProof/>
          <w:lang w:eastAsia="de-DE"/>
        </w:rPr>
        <w:drawing>
          <wp:inline distT="0" distB="0" distL="0" distR="0">
            <wp:extent cx="1698795" cy="2520000"/>
            <wp:effectExtent l="0" t="0" r="0" b="0"/>
            <wp:docPr id="39" name="Grafik 39" descr="C:\Users\Max\Dropbox\Photos\14396649965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x\Dropbox\Photos\14396649965862.jpg"/>
                    <pic:cNvPicPr>
                      <a:picLocks noChangeAspect="1" noChangeArrowheads="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1698795" cy="2520000"/>
                    </a:xfrm>
                    <a:prstGeom prst="rect">
                      <a:avLst/>
                    </a:prstGeom>
                    <a:noFill/>
                    <a:ln>
                      <a:noFill/>
                    </a:ln>
                    <a:extLst>
                      <a:ext uri="{53640926-AAD7-44D8-BBD7-CCE9431645EC}">
                        <a14:shadowObscured xmlns:a14="http://schemas.microsoft.com/office/drawing/2010/main"/>
                      </a:ext>
                    </a:extLst>
                  </pic:spPr>
                </pic:pic>
              </a:graphicData>
            </a:graphic>
          </wp:inline>
        </w:drawing>
      </w:r>
      <w:r w:rsidR="001E7A33">
        <w:t xml:space="preserve">   </w:t>
      </w:r>
      <w:r w:rsidR="001E7A33" w:rsidRPr="003A5858">
        <w:rPr>
          <w:noProof/>
          <w:lang w:eastAsia="de-DE"/>
        </w:rPr>
        <w:drawing>
          <wp:inline distT="0" distB="0" distL="0" distR="0">
            <wp:extent cx="1538618" cy="2520000"/>
            <wp:effectExtent l="0" t="0" r="4445" b="0"/>
            <wp:docPr id="37" name="Grafik 37" descr="C:\Users\Max\Dropbox\Photos\14396649581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ropbox\Photos\14396649581760.jpg"/>
                    <pic:cNvPicPr>
                      <a:picLocks noChangeAspect="1" noChangeArrowheads="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1538618" cy="2520000"/>
                    </a:xfrm>
                    <a:prstGeom prst="rect">
                      <a:avLst/>
                    </a:prstGeom>
                    <a:noFill/>
                    <a:ln>
                      <a:noFill/>
                    </a:ln>
                    <a:extLst>
                      <a:ext uri="{53640926-AAD7-44D8-BBD7-CCE9431645EC}">
                        <a14:shadowObscured xmlns:a14="http://schemas.microsoft.com/office/drawing/2010/main"/>
                      </a:ext>
                    </a:extLst>
                  </pic:spPr>
                </pic:pic>
              </a:graphicData>
            </a:graphic>
          </wp:inline>
        </w:drawing>
      </w:r>
      <w:r w:rsidR="001E7A33">
        <w:t xml:space="preserve">  </w:t>
      </w:r>
      <w:r w:rsidRPr="003A5858">
        <w:rPr>
          <w:noProof/>
          <w:lang w:eastAsia="de-DE"/>
        </w:rPr>
        <w:drawing>
          <wp:inline distT="0" distB="0" distL="0" distR="0">
            <wp:extent cx="1647370" cy="2520000"/>
            <wp:effectExtent l="0" t="0" r="0" b="0"/>
            <wp:docPr id="38" name="Grafik 38" descr="C:\Users\Max\Dropbox\Photos\14396649757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ropbox\Photos\14396649757381.jpg"/>
                    <pic:cNvPicPr>
                      <a:picLocks noChangeAspect="1" noChangeArrowheads="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1647370" cy="2520000"/>
                    </a:xfrm>
                    <a:prstGeom prst="rect">
                      <a:avLst/>
                    </a:prstGeom>
                    <a:noFill/>
                    <a:ln>
                      <a:noFill/>
                    </a:ln>
                    <a:extLst>
                      <a:ext uri="{53640926-AAD7-44D8-BBD7-CCE9431645EC}">
                        <a14:shadowObscured xmlns:a14="http://schemas.microsoft.com/office/drawing/2010/main"/>
                      </a:ext>
                    </a:extLst>
                  </pic:spPr>
                </pic:pic>
              </a:graphicData>
            </a:graphic>
          </wp:inline>
        </w:drawing>
      </w:r>
    </w:p>
    <w:p w:rsidR="001E7A33" w:rsidRDefault="001E7A33" w:rsidP="00D64F71">
      <w:pPr>
        <w:pStyle w:val="Beschriftung"/>
        <w:suppressAutoHyphens/>
        <w:ind w:left="705" w:hanging="705"/>
        <w:jc w:val="left"/>
      </w:pPr>
      <w:r>
        <w:t xml:space="preserve">Abb. </w:t>
      </w:r>
      <w:r w:rsidR="006E766A">
        <w:fldChar w:fldCharType="begin"/>
      </w:r>
      <w:r>
        <w:instrText xml:space="preserve"> SEQ Abb. \* ARABIC </w:instrText>
      </w:r>
      <w:r w:rsidR="006E766A">
        <w:fldChar w:fldCharType="separate"/>
      </w:r>
      <w:r w:rsidR="005F3F29">
        <w:rPr>
          <w:noProof/>
        </w:rPr>
        <w:t>3</w:t>
      </w:r>
      <w:r w:rsidR="006E766A">
        <w:fldChar w:fldCharType="end"/>
      </w:r>
      <w:r>
        <w:t>:</w:t>
      </w:r>
      <w:r w:rsidR="00D64F71">
        <w:t xml:space="preserve"> </w:t>
      </w:r>
      <w:r w:rsidR="00D64F71">
        <w:tab/>
      </w:r>
      <w:r>
        <w:t>Blindprobe mit hellblauem Kupfer(II)-hydroxid-Niederschlag (links), Kupfer(II)-hydroxid-Niederschlag u</w:t>
      </w:r>
      <w:r w:rsidR="00D64F71">
        <w:t xml:space="preserve">nter </w:t>
      </w:r>
      <w:r>
        <w:t>Anwesenheit von Peptidbindungen (mittig)</w:t>
      </w:r>
      <w:r w:rsidR="002E5491">
        <w:t>.</w:t>
      </w:r>
      <w:r>
        <w:t xml:space="preserve"> </w:t>
      </w:r>
      <w:r w:rsidR="002E5491">
        <w:t>D</w:t>
      </w:r>
      <w:r w:rsidR="00A160F8">
        <w:t>urch</w:t>
      </w:r>
      <w:r w:rsidR="003F60C3">
        <w:t xml:space="preserve"> </w:t>
      </w:r>
      <w:r w:rsidR="00A160F8">
        <w:t>Lös</w:t>
      </w:r>
      <w:r w:rsidR="003F60C3">
        <w:t>en</w:t>
      </w:r>
      <w:r w:rsidR="00A160F8">
        <w:t xml:space="preserve"> des </w:t>
      </w:r>
      <w:r w:rsidR="002E5491">
        <w:t>Niederschlag</w:t>
      </w:r>
      <w:r w:rsidR="00A160F8">
        <w:t>s</w:t>
      </w:r>
      <w:r w:rsidR="002E5491">
        <w:t xml:space="preserve"> </w:t>
      </w:r>
      <w:r w:rsidR="00A160F8">
        <w:t>entsteht</w:t>
      </w:r>
      <w:r w:rsidR="002E5491">
        <w:t xml:space="preserve"> eine </w:t>
      </w:r>
      <w:r>
        <w:t>violette Lösun</w:t>
      </w:r>
      <w:r w:rsidR="002E5491">
        <w:t xml:space="preserve">g </w:t>
      </w:r>
      <w:r>
        <w:t>(rechts</w:t>
      </w:r>
      <w:r w:rsidR="00A160F8">
        <w:t>).</w:t>
      </w:r>
    </w:p>
    <w:p w:rsidR="006E32AF" w:rsidRDefault="008E1A25" w:rsidP="00047445">
      <w:pPr>
        <w:tabs>
          <w:tab w:val="left" w:pos="1701"/>
          <w:tab w:val="left" w:pos="1985"/>
        </w:tabs>
        <w:ind w:left="1980" w:hanging="1980"/>
      </w:pPr>
      <w:r>
        <w:t>Deutung:</w:t>
      </w:r>
      <w:r>
        <w:tab/>
      </w:r>
      <w:r>
        <w:tab/>
      </w:r>
      <w:r w:rsidR="00125CEA">
        <w:tab/>
      </w:r>
      <w:r w:rsidR="003057C7">
        <w:t>Bei der Zugabe der Kupfer(II)-sulfat-Lösung bildet sich in der alkalischen Lösung zunächst ein Niederschlag aus blauem Kupferhydroxid. Dieser löst sich, da die Kupfer-Ionen mit den freien Elektronenpaaren der Stickstoffatome der Aminosäuren in der Peptidbindung eine koordinative Bindung eingehen und sich ein löslicher</w:t>
      </w:r>
      <w:r w:rsidR="00325336">
        <w:t xml:space="preserve"> violetter</w:t>
      </w:r>
      <w:r w:rsidR="003057C7">
        <w:t xml:space="preserve"> Komplex bildet. Diese Probe wird Biuret-Probe genannt, da die Probe am Stoff Biuret entdeckt wurde.</w:t>
      </w:r>
      <w:r w:rsidR="00EC1C55">
        <w:t xml:space="preserve"> Biuret entsteht beim Erhitzen von Harnstoff-Lösung, wobei zwei ebenfalls stickstoffhaltige Harnstoff-Moleküle unter Ammoniak-Abspaltung (NH</w:t>
      </w:r>
      <w:r w:rsidR="00EC1C55" w:rsidRPr="00EC1C55">
        <w:rPr>
          <w:vertAlign w:val="subscript"/>
        </w:rPr>
        <w:t>3</w:t>
      </w:r>
      <w:r w:rsidR="00EC1C55">
        <w:t>) kondensieren.</w:t>
      </w:r>
    </w:p>
    <w:p w:rsidR="00216E3C" w:rsidRDefault="00216E3C" w:rsidP="00047445">
      <w:pPr>
        <w:tabs>
          <w:tab w:val="left" w:pos="1701"/>
          <w:tab w:val="left" w:pos="1985"/>
        </w:tabs>
        <w:ind w:left="1980" w:hanging="1980"/>
      </w:pPr>
      <w:r>
        <w:t>Entsorgung:</w:t>
      </w:r>
      <w:r>
        <w:tab/>
      </w:r>
      <w:r w:rsidR="00125CEA">
        <w:tab/>
      </w:r>
      <w:r w:rsidR="00047445">
        <w:t>Kupferhaltige Lösungen werden im Schwermetallbehälter entsorgt.</w:t>
      </w:r>
    </w:p>
    <w:p w:rsidR="00047445" w:rsidRDefault="00047445" w:rsidP="00047445">
      <w:pPr>
        <w:tabs>
          <w:tab w:val="left" w:pos="1701"/>
          <w:tab w:val="left" w:pos="1985"/>
        </w:tabs>
        <w:ind w:left="1980" w:hanging="1980"/>
      </w:pPr>
      <w:r>
        <w:tab/>
      </w:r>
      <w:r>
        <w:tab/>
        <w:t>Überschüssige Natriumhydroxid-Lösung wird im Säure-Base-Behälter entsorgt.</w:t>
      </w:r>
    </w:p>
    <w:p w:rsidR="00F17765" w:rsidRDefault="00F17765" w:rsidP="003057C7">
      <w:pPr>
        <w:tabs>
          <w:tab w:val="left" w:pos="1701"/>
          <w:tab w:val="left" w:pos="1985"/>
        </w:tabs>
        <w:ind w:left="1980" w:hanging="1980"/>
      </w:pPr>
      <w:r>
        <w:t>Literatur:</w:t>
      </w:r>
      <w:r>
        <w:tab/>
      </w:r>
      <w:r>
        <w:tab/>
      </w:r>
      <w:r w:rsidR="004D468F">
        <w:t>Schunk, A. (2001). Die Biuret-Reaktion</w:t>
      </w:r>
      <w:r w:rsidR="004D468F" w:rsidRPr="004D468F">
        <w:rPr>
          <w:color w:val="auto"/>
        </w:rPr>
        <w:t xml:space="preserve">. </w:t>
      </w:r>
      <w:hyperlink r:id="rId24" w:history="1">
        <w:r w:rsidR="004D468F" w:rsidRPr="004D468F">
          <w:rPr>
            <w:rStyle w:val="Hyperlink"/>
            <w:color w:val="auto"/>
            <w:u w:val="none"/>
          </w:rPr>
          <w:t>http://www.axel-schunk.de/experiment/edm0110.html</w:t>
        </w:r>
      </w:hyperlink>
      <w:r w:rsidR="004D468F" w:rsidRPr="004D468F">
        <w:rPr>
          <w:color w:val="auto"/>
        </w:rPr>
        <w:t xml:space="preserve"> </w:t>
      </w:r>
      <w:r w:rsidR="004D468F">
        <w:t>(abgerufen am 13.08.2015)</w:t>
      </w:r>
    </w:p>
    <w:p w:rsidR="006E32AF" w:rsidRDefault="003F60C3" w:rsidP="006E32AF">
      <w:pPr>
        <w:tabs>
          <w:tab w:val="left" w:pos="1701"/>
          <w:tab w:val="left" w:pos="1985"/>
        </w:tabs>
        <w:ind w:left="1980" w:hanging="1980"/>
        <w:rPr>
          <w:noProof/>
          <w:lang w:eastAsia="de-DE"/>
        </w:rPr>
      </w:pPr>
      <w:r>
        <w:rPr>
          <w:noProof/>
          <w:lang w:eastAsia="de-DE"/>
        </w:rPr>
        <mc:AlternateContent>
          <mc:Choice Requires="wps">
            <w:drawing>
              <wp:inline distT="0" distB="0" distL="0" distR="0" wp14:anchorId="7430D4AC">
                <wp:extent cx="5873115" cy="3190875"/>
                <wp:effectExtent l="13970" t="13970" r="8890" b="14605"/>
                <wp:docPr id="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1908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334B" w:rsidRDefault="00B1334B" w:rsidP="000D10FB">
                            <w:pPr>
                              <w:rPr>
                                <w:b/>
                                <w:color w:val="auto"/>
                              </w:rPr>
                            </w:pPr>
                            <w:r>
                              <w:rPr>
                                <w:b/>
                                <w:color w:val="auto"/>
                              </w:rPr>
                              <w:t>Unterrichtsanschlüsse</w:t>
                            </w:r>
                          </w:p>
                          <w:p w:rsidR="00B1334B" w:rsidRDefault="00B1334B" w:rsidP="000D10FB">
                            <w:pPr>
                              <w:rPr>
                                <w:color w:val="auto"/>
                              </w:rPr>
                            </w:pPr>
                            <w:r>
                              <w:rPr>
                                <w:color w:val="auto"/>
                              </w:rPr>
                              <w:t xml:space="preserve">Der Nachweis von Peptiden bzw. Proteinen kann alternativ auch durch Besprühen proteinhaltiger </w:t>
                            </w:r>
                            <w:r w:rsidR="002E5491">
                              <w:rPr>
                                <w:color w:val="auto"/>
                              </w:rPr>
                              <w:t xml:space="preserve">Substanzen </w:t>
                            </w:r>
                            <w:r>
                              <w:rPr>
                                <w:color w:val="auto"/>
                              </w:rPr>
                              <w:t>mit ethanolischer Ninhydrin-Lösung oder durch den Xanthoprotein-Nachweis erfolgen. Bei letzterem werden aromatische Aminosäurereste durch Zugabe von Salpetersäure-Lösung nitriert. Anhand dieses Nachweises können anschließend die Struktur der Reste und der Mechanismus der Nitrierung diskutiert werden.</w:t>
                            </w:r>
                          </w:p>
                          <w:p w:rsidR="00B1334B" w:rsidRDefault="00B1334B" w:rsidP="000D10FB">
                            <w:pPr>
                              <w:rPr>
                                <w:color w:val="auto"/>
                              </w:rPr>
                            </w:pPr>
                            <w:r>
                              <w:rPr>
                                <w:color w:val="auto"/>
                              </w:rPr>
                              <w:t>Der Biuret-Nachweis kann anschließend mit proteinhaltigen Lebensmitteln durchgeführt werden.</w:t>
                            </w:r>
                          </w:p>
                          <w:p w:rsidR="00B1334B" w:rsidRPr="00F31EBF" w:rsidRDefault="002E5491" w:rsidP="000D10FB">
                            <w:pPr>
                              <w:rPr>
                                <w:color w:val="auto"/>
                              </w:rPr>
                            </w:pPr>
                            <w:r>
                              <w:rPr>
                                <w:color w:val="auto"/>
                              </w:rPr>
                              <w:t>Mit der Biuret-Probe getestete</w:t>
                            </w:r>
                            <w:r w:rsidR="00B1334B">
                              <w:rPr>
                                <w:color w:val="auto"/>
                              </w:rPr>
                              <w:t xml:space="preserve"> Aminosäuren (z.B. mit einer Glycin-Lösung) bilde</w:t>
                            </w:r>
                            <w:r>
                              <w:rPr>
                                <w:color w:val="auto"/>
                              </w:rPr>
                              <w:t>n</w:t>
                            </w:r>
                            <w:r w:rsidR="00B1334B">
                              <w:rPr>
                                <w:color w:val="auto"/>
                              </w:rPr>
                              <w:t xml:space="preserve"> ein</w:t>
                            </w:r>
                            <w:r>
                              <w:rPr>
                                <w:color w:val="auto"/>
                              </w:rPr>
                              <w:t>en</w:t>
                            </w:r>
                            <w:r w:rsidR="00B1334B">
                              <w:rPr>
                                <w:color w:val="auto"/>
                              </w:rPr>
                              <w:t xml:space="preserve"> blaue</w:t>
                            </w:r>
                            <w:r>
                              <w:rPr>
                                <w:color w:val="auto"/>
                              </w:rPr>
                              <w:t>n</w:t>
                            </w:r>
                            <w:r w:rsidR="00B1334B">
                              <w:rPr>
                                <w:color w:val="auto"/>
                              </w:rPr>
                              <w:t>, lösliche</w:t>
                            </w:r>
                            <w:r>
                              <w:rPr>
                                <w:color w:val="auto"/>
                              </w:rPr>
                              <w:t>n</w:t>
                            </w:r>
                            <w:r w:rsidR="00B1334B">
                              <w:rPr>
                                <w:color w:val="auto"/>
                              </w:rPr>
                              <w:t xml:space="preserve"> Komplex. Auch einzelne Aminosäuren vermögen also an Kupfer(II)-Ionen koordinativ zu binden.</w:t>
                            </w:r>
                          </w:p>
                        </w:txbxContent>
                      </wps:txbx>
                      <wps:bodyPr rot="0" vert="horz" wrap="square" lIns="91440" tIns="45720" rIns="91440" bIns="45720" anchor="t" anchorCtr="0" upright="1">
                        <a:noAutofit/>
                      </wps:bodyPr>
                    </wps:wsp>
                  </a:graphicData>
                </a:graphic>
              </wp:inline>
            </w:drawing>
          </mc:Choice>
          <mc:Fallback>
            <w:pict>
              <v:shape w14:anchorId="7430D4AC" id="Text Box 131" o:spid="_x0000_s1028" type="#_x0000_t202" style="width:462.45pt;height:2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" fillcolor="white [3201]" strokecolor="#c0504d [3205]" strokeweight="1pt">
                <v:stroke dashstyle="dash"/>
                <v:shadow color="#868686"/>
                <v:textbox>
                  <w:txbxContent>
                    <w:p w:rsidR="00B1334B" w:rsidRDefault="00B1334B" w:rsidP="000D10FB">
                      <w:pPr>
                        <w:rPr>
                          <w:b/>
                          <w:color w:val="auto"/>
                        </w:rPr>
                      </w:pPr>
                      <w:r>
                        <w:rPr>
                          <w:b/>
                          <w:color w:val="auto"/>
                        </w:rPr>
                        <w:t>Unterrichtsanschlüsse</w:t>
                      </w:r>
                    </w:p>
                    <w:p w:rsidR="00B1334B" w:rsidRDefault="00B1334B" w:rsidP="000D10FB">
                      <w:pPr>
                        <w:rPr>
                          <w:color w:val="auto"/>
                        </w:rPr>
                      </w:pPr>
                      <w:r>
                        <w:rPr>
                          <w:color w:val="auto"/>
                        </w:rPr>
                        <w:t xml:space="preserve">Der Nachweis von Peptiden bzw. Proteinen kann alternativ auch durch Besprühen proteinhaltiger </w:t>
                      </w:r>
                      <w:r w:rsidR="002E5491">
                        <w:rPr>
                          <w:color w:val="auto"/>
                        </w:rPr>
                        <w:t xml:space="preserve">Substanzen </w:t>
                      </w:r>
                      <w:r>
                        <w:rPr>
                          <w:color w:val="auto"/>
                        </w:rPr>
                        <w:t>mit ethanolischer Ninhydrin-Lösung oder durch den Xanthoprotein-Nachweis erfolgen. Bei letzterem werden aromatische Aminosäurereste durch Zugabe von Salpetersäure-Lösung nitriert. Anhand dieses Nachweises können anschließend die Struktur der Reste und der Mechanismus der Nitrierung diskutiert werden.</w:t>
                      </w:r>
                    </w:p>
                    <w:p w:rsidR="00B1334B" w:rsidRDefault="00B1334B" w:rsidP="000D10FB">
                      <w:pPr>
                        <w:rPr>
                          <w:color w:val="auto"/>
                        </w:rPr>
                      </w:pPr>
                      <w:r>
                        <w:rPr>
                          <w:color w:val="auto"/>
                        </w:rPr>
                        <w:t>Der Biuret-Nachweis kann anschließend mit proteinhaltigen Lebensmitteln durchgeführt werden.</w:t>
                      </w:r>
                    </w:p>
                    <w:p w:rsidR="00B1334B" w:rsidRPr="00F31EBF" w:rsidRDefault="002E5491" w:rsidP="000D10FB">
                      <w:pPr>
                        <w:rPr>
                          <w:color w:val="auto"/>
                        </w:rPr>
                      </w:pPr>
                      <w:r>
                        <w:rPr>
                          <w:color w:val="auto"/>
                        </w:rPr>
                        <w:t>Mit der Biuret-Probe getestete</w:t>
                      </w:r>
                      <w:r w:rsidR="00B1334B">
                        <w:rPr>
                          <w:color w:val="auto"/>
                        </w:rPr>
                        <w:t xml:space="preserve"> Aminosäuren (z.B. mit einer Glycin-Lösung) bilde</w:t>
                      </w:r>
                      <w:r>
                        <w:rPr>
                          <w:color w:val="auto"/>
                        </w:rPr>
                        <w:t>n</w:t>
                      </w:r>
                      <w:r w:rsidR="00B1334B">
                        <w:rPr>
                          <w:color w:val="auto"/>
                        </w:rPr>
                        <w:t xml:space="preserve"> ein</w:t>
                      </w:r>
                      <w:r>
                        <w:rPr>
                          <w:color w:val="auto"/>
                        </w:rPr>
                        <w:t>en</w:t>
                      </w:r>
                      <w:r w:rsidR="00B1334B">
                        <w:rPr>
                          <w:color w:val="auto"/>
                        </w:rPr>
                        <w:t xml:space="preserve"> blaue</w:t>
                      </w:r>
                      <w:r>
                        <w:rPr>
                          <w:color w:val="auto"/>
                        </w:rPr>
                        <w:t>n</w:t>
                      </w:r>
                      <w:r w:rsidR="00B1334B">
                        <w:rPr>
                          <w:color w:val="auto"/>
                        </w:rPr>
                        <w:t>, lösliche</w:t>
                      </w:r>
                      <w:r>
                        <w:rPr>
                          <w:color w:val="auto"/>
                        </w:rPr>
                        <w:t>n</w:t>
                      </w:r>
                      <w:r w:rsidR="00B1334B">
                        <w:rPr>
                          <w:color w:val="auto"/>
                        </w:rPr>
                        <w:t xml:space="preserve"> Komplex. Auch einzelne Aminosäuren vermögen also an Kupfer(II)-Ionen koordinativ zu binden.</w:t>
                      </w:r>
                    </w:p>
                  </w:txbxContent>
                </v:textbox>
                <w10:anchorlock/>
              </v:shape>
            </w:pict>
          </mc:Fallback>
        </mc:AlternateContent>
      </w:r>
    </w:p>
    <w:p w:rsidR="00325336" w:rsidRDefault="00325336" w:rsidP="006E32AF">
      <w:pPr>
        <w:tabs>
          <w:tab w:val="left" w:pos="1701"/>
          <w:tab w:val="left" w:pos="1985"/>
        </w:tabs>
        <w:ind w:left="1980" w:hanging="1980"/>
        <w:rPr>
          <w:rFonts w:eastAsiaTheme="minorEastAsia"/>
        </w:rPr>
      </w:pPr>
      <w:r>
        <w:rPr>
          <w:rFonts w:eastAsiaTheme="minorEastAsia"/>
        </w:rPr>
        <w:t xml:space="preserve"> </w:t>
      </w:r>
    </w:p>
    <w:bookmarkStart w:id="5" w:name="_Toc427745701"/>
    <w:p w:rsidR="00173EE7" w:rsidRDefault="003F60C3" w:rsidP="002E5491">
      <w:pPr>
        <w:pStyle w:val="berschrift1"/>
        <w:ind w:left="0" w:firstLine="0"/>
      </w:pPr>
      <w:r>
        <w:rPr>
          <w:noProof/>
          <w:lang w:eastAsia="de-DE"/>
        </w:rPr>
        <mc:AlternateContent>
          <mc:Choice Requires="wps">
            <w:drawing>
              <wp:anchor distT="0" distB="0" distL="114300" distR="114300" simplePos="0" relativeHeight="251788288" behindDoc="0" locked="0" layoutInCell="1" allowOverlap="1" wp14:anchorId="3151E012">
                <wp:simplePos x="0" y="0"/>
                <wp:positionH relativeFrom="column">
                  <wp:posOffset>-88900</wp:posOffset>
                </wp:positionH>
                <wp:positionV relativeFrom="paragraph">
                  <wp:posOffset>614045</wp:posOffset>
                </wp:positionV>
                <wp:extent cx="5908675" cy="1333500"/>
                <wp:effectExtent l="0" t="0" r="15875" b="19050"/>
                <wp:wrapSquare wrapText="bothSides"/>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3335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334B" w:rsidRDefault="00B1334B" w:rsidP="00173EE7">
                            <w:pPr>
                              <w:rPr>
                                <w:color w:val="auto"/>
                              </w:rPr>
                            </w:pPr>
                            <w:r>
                              <w:rPr>
                                <w:color w:val="auto"/>
                              </w:rPr>
                              <w:t>Gelöste Proteine fallen aus, wenn ihre Struktur stark verändert wird und sich ihre Löslichkeit somit herabsetzt. Dies kann durch äußere Faktoren hervorgerufen werden, die sich auf die Sekundär</w:t>
                            </w:r>
                            <w:r w:rsidR="00325336">
                              <w:rPr>
                                <w:color w:val="auto"/>
                              </w:rPr>
                              <w:t>-</w:t>
                            </w:r>
                            <w:r>
                              <w:rPr>
                                <w:color w:val="auto"/>
                              </w:rPr>
                              <w:t xml:space="preserve"> und Tertiärstruktur auswirken. Im Unterricht sollten zuvor die Eigenschaften der Aminosäurereste und die daraus resultierenden Bindungen in der Tertiärstruktur eingegangen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1E012" id="_x0000_s1029" type="#_x0000_t202" style="position:absolute;left:0;text-align:left;margin-left:-7pt;margin-top:48.35pt;width:465.25pt;height:1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" fillcolor="white [3201]" strokecolor="#4bacc6 [3208]" strokeweight="1pt">
                <v:stroke dashstyle="dash"/>
                <v:shadow color="#868686"/>
                <v:textbox>
                  <w:txbxContent>
                    <w:p w:rsidR="00B1334B" w:rsidRDefault="00B1334B" w:rsidP="00173EE7">
                      <w:pPr>
                        <w:rPr>
                          <w:color w:val="auto"/>
                        </w:rPr>
                      </w:pPr>
                      <w:r>
                        <w:rPr>
                          <w:color w:val="auto"/>
                        </w:rPr>
                        <w:t>Gelöste Proteine fallen aus, wenn ihre Struktur stark verändert wird und sich ihre Löslichkeit somit herabsetzt. Dies kann durch äußere Faktoren hervorgerufen werden, die sich auf die Sekundär</w:t>
                      </w:r>
                      <w:r w:rsidR="00325336">
                        <w:rPr>
                          <w:color w:val="auto"/>
                        </w:rPr>
                        <w:t>-</w:t>
                      </w:r>
                      <w:r>
                        <w:rPr>
                          <w:color w:val="auto"/>
                        </w:rPr>
                        <w:t xml:space="preserve"> und Tertiärstruktur auswirken. Im Unterricht sollten zuvor die Eigenschaften der Aminosäurereste und die daraus resultierenden Bindungen in der Tertiärstruktur eingegangen werden.</w:t>
                      </w:r>
                    </w:p>
                  </w:txbxContent>
                </v:textbox>
                <w10:wrap type="square"/>
              </v:shape>
            </w:pict>
          </mc:Fallback>
        </mc:AlternateContent>
      </w:r>
      <w:r w:rsidR="00173EE7">
        <w:t>Schülerversuch – V</w:t>
      </w:r>
      <w:r w:rsidR="003F10F3">
        <w:t>2</w:t>
      </w:r>
      <w:r w:rsidR="00173EE7">
        <w:t xml:space="preserve"> </w:t>
      </w:r>
      <w:r w:rsidR="003F10F3">
        <w:t>Fällung von Proteinen</w:t>
      </w:r>
      <w:bookmarkEnd w:id="5"/>
    </w:p>
    <w:p w:rsidR="00173EE7" w:rsidRPr="005812F9" w:rsidRDefault="00173EE7" w:rsidP="00173EE7">
      <w:pPr>
        <w:spacing w:line="240" w:lineRule="auto"/>
        <w:rPr>
          <w:sz w:val="8"/>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73EE7" w:rsidRPr="009C5E28" w:rsidTr="003F10F3">
        <w:tc>
          <w:tcPr>
            <w:tcW w:w="9322" w:type="dxa"/>
            <w:gridSpan w:val="9"/>
            <w:shd w:val="clear" w:color="auto" w:fill="4F81BD"/>
            <w:vAlign w:val="center"/>
          </w:tcPr>
          <w:p w:rsidR="00173EE7" w:rsidRPr="00F31EBF" w:rsidRDefault="00173EE7" w:rsidP="003F10F3">
            <w:pPr>
              <w:spacing w:after="0"/>
              <w:jc w:val="center"/>
              <w:rPr>
                <w:b/>
                <w:bCs/>
                <w:color w:val="FFFFFF" w:themeColor="background1"/>
              </w:rPr>
            </w:pPr>
            <w:r w:rsidRPr="00F31EBF">
              <w:rPr>
                <w:b/>
                <w:bCs/>
                <w:color w:val="FFFFFF" w:themeColor="background1"/>
              </w:rPr>
              <w:t>Gefahrenstoffe</w:t>
            </w:r>
          </w:p>
        </w:tc>
      </w:tr>
      <w:tr w:rsidR="00422471" w:rsidRPr="009C5E28" w:rsidTr="003F10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2471" w:rsidRPr="00422471" w:rsidRDefault="00422471" w:rsidP="00422471">
            <w:pPr>
              <w:spacing w:after="0" w:line="276" w:lineRule="auto"/>
              <w:jc w:val="center"/>
              <w:rPr>
                <w:bCs/>
                <w:sz w:val="20"/>
                <w:szCs w:val="20"/>
              </w:rPr>
            </w:pPr>
            <w:r w:rsidRPr="00422471">
              <w:rPr>
                <w:color w:val="000000" w:themeColor="text1"/>
                <w:sz w:val="20"/>
                <w:szCs w:val="20"/>
              </w:rPr>
              <w:t>Ethanol</w:t>
            </w:r>
          </w:p>
        </w:tc>
        <w:tc>
          <w:tcPr>
            <w:tcW w:w="3177" w:type="dxa"/>
            <w:gridSpan w:val="3"/>
            <w:tcBorders>
              <w:top w:val="single" w:sz="8" w:space="0" w:color="4F81BD"/>
              <w:bottom w:val="single" w:sz="8" w:space="0" w:color="4F81BD"/>
            </w:tcBorders>
            <w:shd w:val="clear" w:color="auto" w:fill="auto"/>
            <w:vAlign w:val="center"/>
          </w:tcPr>
          <w:p w:rsidR="00422471" w:rsidRPr="00422471" w:rsidRDefault="00422471" w:rsidP="00422471">
            <w:pPr>
              <w:spacing w:after="0" w:line="276" w:lineRule="auto"/>
              <w:jc w:val="center"/>
              <w:rPr>
                <w:bCs/>
                <w:sz w:val="20"/>
                <w:szCs w:val="20"/>
              </w:rPr>
            </w:pPr>
            <w:r w:rsidRPr="00422471">
              <w:rPr>
                <w:color w:val="000000" w:themeColor="text1"/>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2471" w:rsidRPr="00422471" w:rsidRDefault="00422471" w:rsidP="00422471">
            <w:pPr>
              <w:spacing w:after="0" w:line="276" w:lineRule="auto"/>
              <w:jc w:val="center"/>
              <w:rPr>
                <w:bCs/>
                <w:sz w:val="20"/>
                <w:szCs w:val="20"/>
              </w:rPr>
            </w:pPr>
            <w:r w:rsidRPr="00422471">
              <w:rPr>
                <w:color w:val="000000" w:themeColor="text1"/>
                <w:sz w:val="20"/>
                <w:szCs w:val="20"/>
              </w:rPr>
              <w:t>P: 210</w:t>
            </w:r>
          </w:p>
        </w:tc>
      </w:tr>
      <w:tr w:rsidR="00422471" w:rsidRPr="009C5E28" w:rsidTr="003F10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2471" w:rsidRPr="005812F9" w:rsidRDefault="00422471" w:rsidP="003F10F3">
            <w:pPr>
              <w:spacing w:after="0" w:line="276" w:lineRule="auto"/>
              <w:jc w:val="center"/>
              <w:rPr>
                <w:bCs/>
                <w:sz w:val="20"/>
                <w:szCs w:val="20"/>
              </w:rPr>
            </w:pPr>
            <w:r>
              <w:rPr>
                <w:bCs/>
                <w:sz w:val="20"/>
                <w:szCs w:val="20"/>
              </w:rPr>
              <w:t>Salzsäure-Lösung</w:t>
            </w:r>
          </w:p>
        </w:tc>
        <w:tc>
          <w:tcPr>
            <w:tcW w:w="3177" w:type="dxa"/>
            <w:gridSpan w:val="3"/>
            <w:tcBorders>
              <w:top w:val="single" w:sz="8" w:space="0" w:color="4F81BD"/>
              <w:bottom w:val="single" w:sz="8" w:space="0" w:color="4F81BD"/>
            </w:tcBorders>
            <w:shd w:val="clear" w:color="auto" w:fill="auto"/>
            <w:vAlign w:val="center"/>
          </w:tcPr>
          <w:p w:rsidR="00422471" w:rsidRPr="00422471" w:rsidRDefault="00422471" w:rsidP="00422471">
            <w:pPr>
              <w:spacing w:after="0" w:line="276" w:lineRule="auto"/>
              <w:jc w:val="center"/>
              <w:rPr>
                <w:bCs/>
                <w:sz w:val="20"/>
                <w:szCs w:val="20"/>
              </w:rPr>
            </w:pPr>
            <w:r w:rsidRPr="00422471">
              <w:rPr>
                <w:color w:val="000000" w:themeColor="text1"/>
                <w:sz w:val="20"/>
                <w:szCs w:val="20"/>
              </w:rPr>
              <w:t>H:</w:t>
            </w:r>
            <w:r>
              <w:rPr>
                <w:color w:val="000000" w:themeColor="text1"/>
                <w:sz w:val="20"/>
                <w:szCs w:val="20"/>
              </w:rPr>
              <w:t xml:space="preserve">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2471" w:rsidRPr="00422471" w:rsidRDefault="00422471" w:rsidP="00422471">
            <w:pPr>
              <w:spacing w:after="0" w:line="276" w:lineRule="auto"/>
              <w:jc w:val="center"/>
              <w:rPr>
                <w:bCs/>
                <w:sz w:val="20"/>
                <w:szCs w:val="20"/>
              </w:rPr>
            </w:pPr>
            <w:r>
              <w:rPr>
                <w:bCs/>
                <w:sz w:val="20"/>
                <w:szCs w:val="20"/>
              </w:rPr>
              <w:t>P: 234, 260, 305+351+338, 303+361+353, 304+340, 309+311, 501.1</w:t>
            </w:r>
          </w:p>
        </w:tc>
      </w:tr>
      <w:tr w:rsidR="00173EE7" w:rsidRPr="009C5E28" w:rsidTr="003F10F3">
        <w:tc>
          <w:tcPr>
            <w:tcW w:w="1009" w:type="dxa"/>
            <w:tcBorders>
              <w:top w:val="single" w:sz="8" w:space="0" w:color="4F81BD"/>
              <w:left w:val="single" w:sz="8" w:space="0" w:color="4F81BD"/>
              <w:bottom w:val="single" w:sz="8" w:space="0" w:color="4F81BD"/>
            </w:tcBorders>
            <w:shd w:val="clear" w:color="auto" w:fill="auto"/>
            <w:vAlign w:val="center"/>
          </w:tcPr>
          <w:p w:rsidR="00173EE7" w:rsidRPr="009C5E28" w:rsidRDefault="00173EE7" w:rsidP="003F10F3">
            <w:pPr>
              <w:spacing w:after="0"/>
              <w:jc w:val="center"/>
              <w:rPr>
                <w:b/>
                <w:bCs/>
              </w:rPr>
            </w:pPr>
            <w:r>
              <w:rPr>
                <w:b/>
                <w:noProof/>
                <w:lang w:eastAsia="de-DE"/>
              </w:rPr>
              <w:drawing>
                <wp:inline distT="0" distB="0" distL="0" distR="0">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3EE7" w:rsidRPr="009C5E28" w:rsidRDefault="00173EE7" w:rsidP="003F10F3">
            <w:pPr>
              <w:spacing w:after="0"/>
              <w:jc w:val="center"/>
            </w:pPr>
            <w:r>
              <w:rPr>
                <w:noProof/>
                <w:lang w:eastAsia="de-DE"/>
              </w:rPr>
              <w:drawing>
                <wp:inline distT="0" distB="0" distL="0" distR="0">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3EE7" w:rsidRPr="009C5E28" w:rsidRDefault="00422471" w:rsidP="003F10F3">
            <w:pPr>
              <w:spacing w:after="0"/>
              <w:jc w:val="center"/>
            </w:pPr>
            <w:r w:rsidRPr="007D6745">
              <w:rPr>
                <w:noProof/>
                <w:color w:val="000000" w:themeColor="text1"/>
                <w:lang w:eastAsia="de-DE"/>
              </w:rPr>
              <w:drawing>
                <wp:inline distT="0" distB="0" distL="0" distR="0">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3EE7" w:rsidRPr="009C5E28" w:rsidRDefault="00173EE7" w:rsidP="003F10F3">
            <w:pPr>
              <w:spacing w:after="0"/>
              <w:jc w:val="center"/>
            </w:pPr>
            <w:r>
              <w:rPr>
                <w:noProof/>
                <w:lang w:eastAsia="de-DE"/>
              </w:rPr>
              <w:drawing>
                <wp:inline distT="0" distB="0" distL="0" distR="0">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73EE7" w:rsidRPr="009C5E28" w:rsidRDefault="00173EE7" w:rsidP="003F10F3">
            <w:pPr>
              <w:spacing w:after="0"/>
              <w:jc w:val="center"/>
            </w:pPr>
            <w:r>
              <w:rPr>
                <w:noProof/>
                <w:lang w:eastAsia="de-DE"/>
              </w:rPr>
              <w:drawing>
                <wp:inline distT="0" distB="0" distL="0" distR="0">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73EE7" w:rsidRPr="009C5E28" w:rsidRDefault="00173EE7" w:rsidP="003F10F3">
            <w:pPr>
              <w:spacing w:after="0"/>
              <w:jc w:val="center"/>
            </w:pPr>
            <w:r>
              <w:rPr>
                <w:noProof/>
                <w:lang w:eastAsia="de-DE"/>
              </w:rPr>
              <w:drawing>
                <wp:inline distT="0" distB="0" distL="0" distR="0">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73EE7" w:rsidRPr="009C5E28" w:rsidRDefault="00173EE7" w:rsidP="003F10F3">
            <w:pPr>
              <w:spacing w:after="0"/>
              <w:jc w:val="center"/>
            </w:pPr>
            <w:r>
              <w:rPr>
                <w:noProof/>
                <w:lang w:eastAsia="de-DE"/>
              </w:rPr>
              <w:drawing>
                <wp:inline distT="0" distB="0" distL="0" distR="0">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3EE7" w:rsidRPr="009C5E28" w:rsidRDefault="00173EE7" w:rsidP="003F10F3">
            <w:pPr>
              <w:spacing w:after="0"/>
              <w:jc w:val="center"/>
            </w:pPr>
            <w:r>
              <w:rPr>
                <w:noProof/>
                <w:lang w:eastAsia="de-DE"/>
              </w:rPr>
              <w:drawing>
                <wp:inline distT="0" distB="0" distL="0" distR="0">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73EE7" w:rsidRPr="009C5E28" w:rsidRDefault="00173EE7" w:rsidP="003F10F3">
            <w:pPr>
              <w:spacing w:after="0"/>
              <w:jc w:val="center"/>
            </w:pPr>
            <w:r>
              <w:rPr>
                <w:noProof/>
                <w:lang w:eastAsia="de-DE"/>
              </w:rPr>
              <w:drawing>
                <wp:inline distT="0" distB="0" distL="0" distR="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173EE7" w:rsidRDefault="00173EE7" w:rsidP="00173EE7">
      <w:pPr>
        <w:tabs>
          <w:tab w:val="left" w:pos="1701"/>
          <w:tab w:val="left" w:pos="1985"/>
        </w:tabs>
        <w:ind w:left="1980" w:hanging="1980"/>
      </w:pPr>
    </w:p>
    <w:p w:rsidR="00173EE7" w:rsidRDefault="00173EE7" w:rsidP="00173EE7">
      <w:pPr>
        <w:tabs>
          <w:tab w:val="left" w:pos="1701"/>
          <w:tab w:val="left" w:pos="1985"/>
        </w:tabs>
        <w:ind w:left="1980" w:hanging="1980"/>
      </w:pPr>
      <w:r>
        <w:t xml:space="preserve">Materialien: </w:t>
      </w:r>
      <w:r>
        <w:tab/>
      </w:r>
      <w:r>
        <w:tab/>
      </w:r>
      <w:r w:rsidR="00E15519">
        <w:t>4</w:t>
      </w:r>
      <w:r>
        <w:t xml:space="preserve"> Reagenzgläser, </w:t>
      </w:r>
      <w:r w:rsidR="00E15519">
        <w:t>3 Pasteurpipetten, Reagenzglasklammer, Gasbrenner</w:t>
      </w:r>
    </w:p>
    <w:p w:rsidR="00173EE7" w:rsidRPr="00ED07C2" w:rsidRDefault="00173EE7" w:rsidP="00173EE7">
      <w:pPr>
        <w:ind w:left="1980" w:hanging="1980"/>
      </w:pPr>
      <w:r>
        <w:t>Chemikalien:</w:t>
      </w:r>
      <w:r>
        <w:tab/>
      </w:r>
      <w:r w:rsidR="00422471">
        <w:t xml:space="preserve">Eiklar-Lösung, Ethanol (96%), konz. Salzsäure-Lösung (32%), </w:t>
      </w:r>
      <w:r w:rsidR="00086266">
        <w:t>Gerbsäure-Lösung</w:t>
      </w:r>
    </w:p>
    <w:p w:rsidR="002E5491" w:rsidRPr="00F31EBF" w:rsidRDefault="00173EE7" w:rsidP="002E5491">
      <w:pPr>
        <w:ind w:left="1985" w:hanging="1985"/>
        <w:rPr>
          <w:color w:val="auto"/>
        </w:rPr>
      </w:pPr>
      <w:r>
        <w:t xml:space="preserve">Durchführung: </w:t>
      </w:r>
      <w:r>
        <w:tab/>
      </w:r>
      <w:r w:rsidR="002E5491">
        <w:rPr>
          <w:color w:val="auto"/>
        </w:rPr>
        <w:t>Zur Herstellung der Eiklar-Lösung wird das Eiklar eines Eis mit dest. Wasser, in dem 1 g Natriumchlorid gelöst ist, auf 100 mL verdünnt.</w:t>
      </w:r>
    </w:p>
    <w:p w:rsidR="00173EE7" w:rsidRDefault="00E15519" w:rsidP="004B0CC6">
      <w:pPr>
        <w:ind w:left="1980"/>
      </w:pPr>
      <w:r>
        <w:t>Jeweils 2 mL der Eiklar-Lösung werden in 4 Reagenzgläser gegeben. Die Reagenzgläser werden wie folgt verwendet:</w:t>
      </w:r>
    </w:p>
    <w:p w:rsidR="00E15519" w:rsidRDefault="00E15519" w:rsidP="00E15519">
      <w:pPr>
        <w:pStyle w:val="Listenabsatz"/>
        <w:numPr>
          <w:ilvl w:val="0"/>
          <w:numId w:val="23"/>
        </w:numPr>
      </w:pPr>
      <w:r>
        <w:t xml:space="preserve">RG1: </w:t>
      </w:r>
      <w:r>
        <w:tab/>
        <w:t>Eiklar-Lösung + 5 Tropfen Gerbsäure</w:t>
      </w:r>
    </w:p>
    <w:p w:rsidR="00E15519" w:rsidRDefault="00E15519" w:rsidP="00E15519">
      <w:pPr>
        <w:pStyle w:val="Listenabsatz"/>
        <w:numPr>
          <w:ilvl w:val="0"/>
          <w:numId w:val="23"/>
        </w:numPr>
      </w:pPr>
      <w:r>
        <w:t xml:space="preserve">RG2: </w:t>
      </w:r>
      <w:r>
        <w:tab/>
        <w:t>Vorsichtiges Erhitzen über der Gasbrennerflamme</w:t>
      </w:r>
    </w:p>
    <w:p w:rsidR="00E15519" w:rsidRDefault="00E15519" w:rsidP="00E15519">
      <w:pPr>
        <w:pStyle w:val="Listenabsatz"/>
        <w:numPr>
          <w:ilvl w:val="0"/>
          <w:numId w:val="23"/>
        </w:numPr>
      </w:pPr>
      <w:r>
        <w:t>RG3:</w:t>
      </w:r>
      <w:r>
        <w:tab/>
        <w:t>Eiklar-Lösung + 5 Tropfen Ethanol</w:t>
      </w:r>
    </w:p>
    <w:p w:rsidR="00E15519" w:rsidRDefault="00E15519" w:rsidP="00E15519">
      <w:pPr>
        <w:pStyle w:val="Listenabsatz"/>
        <w:numPr>
          <w:ilvl w:val="0"/>
          <w:numId w:val="23"/>
        </w:numPr>
      </w:pPr>
      <w:r>
        <w:t>RG4:</w:t>
      </w:r>
      <w:r>
        <w:tab/>
        <w:t>Eiklar-Lösung + 5 Tropfen konz. Salzsäure-Lösung.</w:t>
      </w:r>
    </w:p>
    <w:p w:rsidR="00173EE7" w:rsidRDefault="00173EE7" w:rsidP="000A7812">
      <w:pPr>
        <w:ind w:left="1980" w:hanging="1980"/>
      </w:pPr>
      <w:r>
        <w:t>B</w:t>
      </w:r>
      <w:r w:rsidR="00E15519">
        <w:t>eobachtung:</w:t>
      </w:r>
      <w:r w:rsidR="00E15519">
        <w:tab/>
        <w:t>In allen Reagenzgläsern bildet sich ein weißer Niederschlag: Die Gerbsäure bildet einen grobflockigen gelblich-weißen Niederschlag, in den anderen Reagenzgläsern fällt ein feinerer weißer Niederschlag aus.</w:t>
      </w:r>
    </w:p>
    <w:p w:rsidR="007D45DB" w:rsidRDefault="00567838" w:rsidP="007D45DB">
      <w:pPr>
        <w:jc w:val="center"/>
      </w:pPr>
      <w:r>
        <w:rPr>
          <w:noProof/>
          <w:lang w:eastAsia="de-DE"/>
        </w:rPr>
        <w:drawing>
          <wp:inline distT="0" distB="0" distL="0" distR="0">
            <wp:extent cx="1114239" cy="32400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8685.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1114239" cy="3240000"/>
                    </a:xfrm>
                    <a:prstGeom prst="rect">
                      <a:avLst/>
                    </a:prstGeom>
                    <a:ln>
                      <a:noFill/>
                    </a:ln>
                    <a:extLst>
                      <a:ext uri="{53640926-AAD7-44D8-BBD7-CCE9431645EC}">
                        <a14:shadowObscured xmlns:a14="http://schemas.microsoft.com/office/drawing/2010/main"/>
                      </a:ext>
                    </a:extLst>
                  </pic:spPr>
                </pic:pic>
              </a:graphicData>
            </a:graphic>
          </wp:inline>
        </w:drawing>
      </w:r>
      <w:r w:rsidR="007D45DB">
        <w:t xml:space="preserve">   </w:t>
      </w:r>
      <w:r>
        <w:rPr>
          <w:noProof/>
          <w:lang w:eastAsia="de-DE"/>
        </w:rPr>
        <w:drawing>
          <wp:inline distT="0" distB="0" distL="0" distR="0">
            <wp:extent cx="1669500" cy="3240000"/>
            <wp:effectExtent l="0" t="0" r="6985"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G_8853.JPG"/>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1669500" cy="3240000"/>
                    </a:xfrm>
                    <a:prstGeom prst="rect">
                      <a:avLst/>
                    </a:prstGeom>
                    <a:ln>
                      <a:noFill/>
                    </a:ln>
                    <a:extLst>
                      <a:ext uri="{53640926-AAD7-44D8-BBD7-CCE9431645EC}">
                        <a14:shadowObscured xmlns:a14="http://schemas.microsoft.com/office/drawing/2010/main"/>
                      </a:ext>
                    </a:extLst>
                  </pic:spPr>
                </pic:pic>
              </a:graphicData>
            </a:graphic>
          </wp:inline>
        </w:drawing>
      </w:r>
    </w:p>
    <w:p w:rsidR="00567838" w:rsidRDefault="007D45DB" w:rsidP="007D45DB">
      <w:pPr>
        <w:pStyle w:val="Beschriftung"/>
        <w:jc w:val="center"/>
      </w:pPr>
      <w:r>
        <w:t xml:space="preserve">Abb. </w:t>
      </w:r>
      <w:r w:rsidR="006E766A">
        <w:fldChar w:fldCharType="begin"/>
      </w:r>
      <w:r>
        <w:instrText xml:space="preserve"> SEQ Abb. \* ARABIC </w:instrText>
      </w:r>
      <w:r w:rsidR="006E766A">
        <w:fldChar w:fldCharType="separate"/>
      </w:r>
      <w:r w:rsidR="005F3F29">
        <w:rPr>
          <w:noProof/>
        </w:rPr>
        <w:t>4</w:t>
      </w:r>
      <w:r w:rsidR="006E766A">
        <w:fldChar w:fldCharType="end"/>
      </w:r>
      <w:r>
        <w:t>: Ausgefallene Proteine aus Eiklar-Lösung verursacht durch v.l.n.r Gerbsäure, Hitze, Salzsäure und Ethanol.</w:t>
      </w:r>
    </w:p>
    <w:p w:rsidR="000A7812" w:rsidRDefault="00173EE7" w:rsidP="000A7812">
      <w:pPr>
        <w:ind w:left="1980" w:hanging="1980"/>
      </w:pPr>
      <w:r>
        <w:t>D</w:t>
      </w:r>
      <w:r w:rsidR="000A7812">
        <w:t>eutung:</w:t>
      </w:r>
      <w:r w:rsidR="000A7812">
        <w:tab/>
        <w:t>Alle Reagenzien führen</w:t>
      </w:r>
      <w:r w:rsidR="00CA514B">
        <w:t xml:space="preserve"> zu einer verminderten Löslichkeit und folglich einer Fällung der in der Lösung befindlichen Proteine</w:t>
      </w:r>
      <w:r w:rsidR="000A7812">
        <w:t xml:space="preserve">. Dabei ist zu beachten, dass die Proteine ihre Primärstruktur </w:t>
      </w:r>
      <w:r w:rsidR="004B0CC6">
        <w:t>be</w:t>
      </w:r>
      <w:r w:rsidR="000A7812">
        <w:t>halten, sich aber die Sekundär</w:t>
      </w:r>
      <w:r w:rsidR="00325336">
        <w:t>-</w:t>
      </w:r>
      <w:r w:rsidR="000A7812">
        <w:t xml:space="preserve"> und Tertiär-Struktur verändert.</w:t>
      </w:r>
      <w:r w:rsidR="00254598">
        <w:t xml:space="preserve"> </w:t>
      </w:r>
      <w:r w:rsidR="000A7812">
        <w:t xml:space="preserve">Bei Gerbsäuren handelt es sich Polyhydroxyphenole, d.h. Aromaten mit vielen Hydroxygruppen. Diese können viele Wasserstoffbrücken ausbilden und durch ihre Größe benachbarte Aminosäureketten verknüpfen. Diese neuen Verknüpfungen wirken sich negativ auf die Löslichkeit aus. Beim Erwärmen der Proteine geraten die Strukturen der Aminosäuren in starke Bewegung und es finden über neue Wasserstoffbrückenbindungen Umlagerungen statt, die sich ebenfalls negativ auf die Löslichkeit der Proteine auswirken. Ethanol stellt ein polares Lösungsmittel dar, was mit der Hydroxy-Funktion Wasserstoffbrückenbindungen und polare Aminosäurereste neu verknüpft, was ebenfalls die Löslichkeit senkt. Salzsäure-Lösung ist stark sauer und protoniert </w:t>
      </w:r>
      <w:r w:rsidR="00143FD1">
        <w:t>Carboxy-Gruppen an Aminosäureresten. Dies verändert die Ladung der Reste, womit die Tertiärstruktur nicht aufrecht erhalten bleibt und die Löslichkeit gesenkt wird.</w:t>
      </w:r>
    </w:p>
    <w:p w:rsidR="00143FD1" w:rsidRDefault="00143FD1" w:rsidP="000A7812">
      <w:pPr>
        <w:ind w:left="1980" w:hanging="1980"/>
      </w:pPr>
      <w:r>
        <w:tab/>
        <w:t>Zusammengefasst lässt sich sagen, dass die eingesetzten Stoffe die Sekundär- und Tertiärstruktur der Proteine beeinflussen, sodass diese nicht mehr löslich sind. Die Primärstruktur bleibt erhalten.</w:t>
      </w:r>
    </w:p>
    <w:p w:rsidR="00173EE7" w:rsidRDefault="00173EE7" w:rsidP="00173EE7">
      <w:pPr>
        <w:tabs>
          <w:tab w:val="left" w:pos="1701"/>
          <w:tab w:val="left" w:pos="1985"/>
        </w:tabs>
        <w:ind w:left="1980" w:hanging="1980"/>
      </w:pPr>
      <w:r>
        <w:t>Entsorgung:</w:t>
      </w:r>
      <w:r>
        <w:tab/>
      </w:r>
      <w:r>
        <w:tab/>
      </w:r>
      <w:r w:rsidR="00143FD1">
        <w:t>Die Lösungen in den Reagenzgläsern können gut mit Wasser verdünnt im Ausguss entsorgt werden.</w:t>
      </w:r>
    </w:p>
    <w:p w:rsidR="00143FD1" w:rsidRDefault="00143FD1" w:rsidP="00173EE7">
      <w:pPr>
        <w:tabs>
          <w:tab w:val="left" w:pos="1701"/>
          <w:tab w:val="left" w:pos="1985"/>
        </w:tabs>
        <w:ind w:left="1980" w:hanging="1980"/>
      </w:pPr>
      <w:r>
        <w:tab/>
      </w:r>
      <w:r>
        <w:tab/>
        <w:t>Restliches Ethanol im Abfall für organische Lösungsmittel entsorgen.</w:t>
      </w:r>
    </w:p>
    <w:p w:rsidR="00143FD1" w:rsidRDefault="00143FD1" w:rsidP="00173EE7">
      <w:pPr>
        <w:tabs>
          <w:tab w:val="left" w:pos="1701"/>
          <w:tab w:val="left" w:pos="1985"/>
        </w:tabs>
        <w:ind w:left="1980" w:hanging="1980"/>
      </w:pPr>
      <w:r>
        <w:tab/>
      </w:r>
      <w:r>
        <w:tab/>
        <w:t>Restliche Salzsäure-Lösung im Behälter für Säure-Base-Abfälle entsorgen.</w:t>
      </w:r>
    </w:p>
    <w:p w:rsidR="00143FD1" w:rsidRDefault="00173EE7" w:rsidP="00143FD1">
      <w:pPr>
        <w:tabs>
          <w:tab w:val="left" w:pos="1701"/>
          <w:tab w:val="left" w:pos="1985"/>
        </w:tabs>
        <w:ind w:left="1980" w:hanging="1980"/>
      </w:pPr>
      <w:r>
        <w:t>Literatur:</w:t>
      </w:r>
      <w:r>
        <w:tab/>
      </w:r>
      <w:r>
        <w:tab/>
      </w:r>
      <w:r w:rsidR="00143FD1" w:rsidRPr="00143FD1">
        <w:t xml:space="preserve">Jakubke, H., &amp; Jeschkeit, H. (1982). </w:t>
      </w:r>
      <w:r w:rsidR="00143FD1" w:rsidRPr="00143FD1">
        <w:rPr>
          <w:i/>
          <w:iCs/>
        </w:rPr>
        <w:t>Aminosäuren, Peptide, Proteine</w:t>
      </w:r>
      <w:r w:rsidR="00143FD1">
        <w:t>. Weinheim: Verlag Chemie.</w:t>
      </w:r>
    </w:p>
    <w:p w:rsidR="00143FD1" w:rsidRPr="00143FD1" w:rsidRDefault="00143FD1" w:rsidP="00143FD1">
      <w:pPr>
        <w:tabs>
          <w:tab w:val="left" w:pos="1701"/>
          <w:tab w:val="left" w:pos="1985"/>
        </w:tabs>
        <w:ind w:left="1980" w:hanging="1980"/>
      </w:pPr>
      <w:r>
        <w:tab/>
      </w:r>
      <w:r>
        <w:tab/>
        <w:t>Dittrich, L. &amp; Tietz, J. (2006). Unterrichtsreihe z</w:t>
      </w:r>
      <w:r w:rsidRPr="00143FD1">
        <w:rPr>
          <w:color w:val="auto"/>
        </w:rPr>
        <w:t xml:space="preserve">um Thema Eiweiß. </w:t>
      </w:r>
      <w:hyperlink r:id="rId28" w:history="1">
        <w:r w:rsidRPr="00143FD1">
          <w:rPr>
            <w:rStyle w:val="Hyperlink"/>
            <w:color w:val="auto"/>
            <w:u w:val="none"/>
          </w:rPr>
          <w:t>https://www.uni-muenster.de/imperia/md/content/didaktik_der_chemie/schulorientiertes/ws0607/ausarbeitungen/eiweiss.pdf</w:t>
        </w:r>
      </w:hyperlink>
      <w:r w:rsidRPr="00143FD1">
        <w:rPr>
          <w:color w:val="auto"/>
        </w:rPr>
        <w:t xml:space="preserve"> </w:t>
      </w:r>
      <w:r>
        <w:t>(abgerufen am 12.08.2015)</w:t>
      </w:r>
    </w:p>
    <w:p w:rsidR="00173EE7" w:rsidRDefault="003F60C3" w:rsidP="00173EE7">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3DAB4D1D">
                <wp:extent cx="5873115" cy="1431925"/>
                <wp:effectExtent l="13970" t="13335" r="8890" b="12065"/>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319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334B" w:rsidRDefault="00B1334B" w:rsidP="00173EE7">
                            <w:pPr>
                              <w:rPr>
                                <w:b/>
                                <w:color w:val="auto"/>
                              </w:rPr>
                            </w:pPr>
                            <w:r>
                              <w:rPr>
                                <w:b/>
                                <w:color w:val="auto"/>
                              </w:rPr>
                              <w:t>Unterrichtsanschlüsse</w:t>
                            </w:r>
                          </w:p>
                          <w:p w:rsidR="00B1334B" w:rsidRPr="00254598" w:rsidRDefault="00B1334B" w:rsidP="00173EE7">
                            <w:pPr>
                              <w:rPr>
                                <w:color w:val="auto"/>
                              </w:rPr>
                            </w:pPr>
                            <w:r>
                              <w:rPr>
                                <w:color w:val="auto"/>
                              </w:rPr>
                              <w:t xml:space="preserve">Im Unterricht kann </w:t>
                            </w:r>
                            <w:r w:rsidR="00CA514B">
                              <w:rPr>
                                <w:color w:val="auto"/>
                              </w:rPr>
                              <w:t xml:space="preserve">im Anschluss </w:t>
                            </w:r>
                            <w:r>
                              <w:rPr>
                                <w:color w:val="auto"/>
                              </w:rPr>
                              <w:t xml:space="preserve">besprochen werden, wo </w:t>
                            </w:r>
                            <w:r w:rsidR="00CA514B">
                              <w:rPr>
                                <w:color w:val="auto"/>
                              </w:rPr>
                              <w:t xml:space="preserve">von Menschen </w:t>
                            </w:r>
                            <w:r>
                              <w:rPr>
                                <w:color w:val="auto"/>
                              </w:rPr>
                              <w:t xml:space="preserve">Proteinfällungen </w:t>
                            </w:r>
                            <w:r w:rsidR="00CA514B">
                              <w:rPr>
                                <w:color w:val="auto"/>
                              </w:rPr>
                              <w:t>mit ähnlichen Chemikalien oder Prozessen</w:t>
                            </w:r>
                            <w:r>
                              <w:rPr>
                                <w:color w:val="auto"/>
                              </w:rPr>
                              <w:t xml:space="preserve"> eingesetzt werden. Das Kochen von Fleisch oder Eiern, die Herstellung von Käse etc. beruhen auf der Fällung von Proteinen. </w:t>
                            </w:r>
                            <w:r w:rsidR="00A160F8">
                              <w:rPr>
                                <w:color w:val="auto"/>
                              </w:rPr>
                              <w:t xml:space="preserve">So </w:t>
                            </w:r>
                            <w:r>
                              <w:rPr>
                                <w:color w:val="auto"/>
                              </w:rPr>
                              <w:t>kann z.B. thematisiert werden, was Kälber-Lab für die Käseproduktion interessant macht.</w:t>
                            </w:r>
                          </w:p>
                        </w:txbxContent>
                      </wps:txbx>
                      <wps:bodyPr rot="0" vert="horz" wrap="square" lIns="91440" tIns="45720" rIns="91440" bIns="45720" anchor="t" anchorCtr="0" upright="1">
                        <a:noAutofit/>
                      </wps:bodyPr>
                    </wps:wsp>
                  </a:graphicData>
                </a:graphic>
              </wp:inline>
            </w:drawing>
          </mc:Choice>
          <mc:Fallback>
            <w:pict>
              <v:shape w14:anchorId="3DAB4D1D" id="Text Box 10" o:spid="_x0000_s1030" type="#_x0000_t202" style="width:462.45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" fillcolor="white [3201]" strokecolor="#c0504d [3205]" strokeweight="1pt">
                <v:stroke dashstyle="dash"/>
                <v:shadow color="#868686"/>
                <v:textbox>
                  <w:txbxContent>
                    <w:p w:rsidR="00B1334B" w:rsidRDefault="00B1334B" w:rsidP="00173EE7">
                      <w:pPr>
                        <w:rPr>
                          <w:b/>
                          <w:color w:val="auto"/>
                        </w:rPr>
                      </w:pPr>
                      <w:r>
                        <w:rPr>
                          <w:b/>
                          <w:color w:val="auto"/>
                        </w:rPr>
                        <w:t>Unterrichtsanschlüsse</w:t>
                      </w:r>
                    </w:p>
                    <w:p w:rsidR="00B1334B" w:rsidRPr="00254598" w:rsidRDefault="00B1334B" w:rsidP="00173EE7">
                      <w:pPr>
                        <w:rPr>
                          <w:color w:val="auto"/>
                        </w:rPr>
                      </w:pPr>
                      <w:r>
                        <w:rPr>
                          <w:color w:val="auto"/>
                        </w:rPr>
                        <w:t xml:space="preserve">Im Unterricht kann </w:t>
                      </w:r>
                      <w:r w:rsidR="00CA514B">
                        <w:rPr>
                          <w:color w:val="auto"/>
                        </w:rPr>
                        <w:t xml:space="preserve">im Anschluss </w:t>
                      </w:r>
                      <w:r>
                        <w:rPr>
                          <w:color w:val="auto"/>
                        </w:rPr>
                        <w:t xml:space="preserve">besprochen werden, wo </w:t>
                      </w:r>
                      <w:r w:rsidR="00CA514B">
                        <w:rPr>
                          <w:color w:val="auto"/>
                        </w:rPr>
                        <w:t xml:space="preserve">von Menschen </w:t>
                      </w:r>
                      <w:r>
                        <w:rPr>
                          <w:color w:val="auto"/>
                        </w:rPr>
                        <w:t xml:space="preserve">Proteinfällungen </w:t>
                      </w:r>
                      <w:r w:rsidR="00CA514B">
                        <w:rPr>
                          <w:color w:val="auto"/>
                        </w:rPr>
                        <w:t>mit ähnlichen Chemikalien oder Prozessen</w:t>
                      </w:r>
                      <w:r>
                        <w:rPr>
                          <w:color w:val="auto"/>
                        </w:rPr>
                        <w:t xml:space="preserve"> eingesetzt werden. Das Kochen von Fleisch oder Eiern, die Herstellung von Käse etc. beruhen auf der Fällung von Proteinen. </w:t>
                      </w:r>
                      <w:r w:rsidR="00A160F8">
                        <w:rPr>
                          <w:color w:val="auto"/>
                        </w:rPr>
                        <w:t xml:space="preserve">So </w:t>
                      </w:r>
                      <w:r>
                        <w:rPr>
                          <w:color w:val="auto"/>
                        </w:rPr>
                        <w:t>kann z.B. thematisiert werden, was Kälber-Lab für die Käseproduktion interessant macht.</w:t>
                      </w:r>
                    </w:p>
                  </w:txbxContent>
                </v:textbox>
                <w10:anchorlock/>
              </v:shape>
            </w:pict>
          </mc:Fallback>
        </mc:AlternateContent>
      </w:r>
    </w:p>
    <w:p w:rsidR="00A0582F" w:rsidRDefault="000735B9" w:rsidP="00A0582F">
      <w:pPr>
        <w:rPr>
          <w:color w:val="1F497D" w:themeColor="text2"/>
        </w:rPr>
      </w:pPr>
      <w:r>
        <w:rPr>
          <w:color w:val="1F497D" w:themeColor="text2"/>
        </w:rPr>
        <w:t xml:space="preserve"> </w:t>
      </w:r>
    </w:p>
    <w:p w:rsidR="000735B9" w:rsidRPr="00F74A95" w:rsidRDefault="000735B9" w:rsidP="00A0582F">
      <w:pPr>
        <w:rPr>
          <w:color w:val="1F497D" w:themeColor="text2"/>
        </w:rPr>
        <w:sectPr w:rsidR="000735B9" w:rsidRPr="00F74A95" w:rsidSect="0007729E">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709" w:left="1417" w:header="708" w:footer="708" w:gutter="0"/>
          <w:pgNumType w:start="0"/>
          <w:cols w:space="708"/>
          <w:titlePg/>
          <w:docGrid w:linePitch="360"/>
        </w:sectPr>
      </w:pPr>
      <w:r>
        <w:rPr>
          <w:color w:val="1F497D" w:themeColor="text2"/>
        </w:rPr>
        <w:t xml:space="preserve"> </w:t>
      </w:r>
    </w:p>
    <w:p w:rsidR="00C10D28" w:rsidRDefault="00A0582F" w:rsidP="00A0582F">
      <w:pPr>
        <w:tabs>
          <w:tab w:val="left" w:pos="1701"/>
          <w:tab w:val="left" w:pos="1985"/>
        </w:tabs>
        <w:rPr>
          <w:b/>
          <w:sz w:val="28"/>
        </w:rPr>
      </w:pPr>
      <w:r>
        <w:rPr>
          <w:b/>
          <w:sz w:val="28"/>
        </w:rPr>
        <w:t xml:space="preserve">Arbeitsblatt – </w:t>
      </w:r>
      <w:r w:rsidR="00C10D28">
        <w:rPr>
          <w:b/>
          <w:sz w:val="28"/>
        </w:rPr>
        <w:t>Von den Aminosäuren zum P</w:t>
      </w:r>
      <w:r w:rsidR="00E360AC">
        <w:rPr>
          <w:b/>
          <w:sz w:val="28"/>
        </w:rPr>
        <w:t>eptid</w:t>
      </w:r>
    </w:p>
    <w:p w:rsidR="00C10D28" w:rsidRDefault="00C10D28" w:rsidP="006005BB">
      <w:pPr>
        <w:spacing w:line="240" w:lineRule="auto"/>
        <w:rPr>
          <w:b/>
        </w:rPr>
      </w:pPr>
      <w:r>
        <w:rPr>
          <w:b/>
        </w:rPr>
        <w:t>Aufgabe 1)</w:t>
      </w:r>
    </w:p>
    <w:p w:rsidR="003D4810" w:rsidRDefault="003D4810" w:rsidP="00C10D28">
      <w:r>
        <w:t xml:space="preserve">In der folgenden Abbildung sind die funktionellen Gruppen dreier Aminosäuren markiert. </w:t>
      </w:r>
    </w:p>
    <w:p w:rsidR="003D4810" w:rsidRDefault="003D4810" w:rsidP="003D4810">
      <w:pPr>
        <w:pStyle w:val="Listenabsatz"/>
        <w:numPr>
          <w:ilvl w:val="0"/>
          <w:numId w:val="24"/>
        </w:numPr>
      </w:pPr>
      <w:r>
        <w:t xml:space="preserve">Benennen Sie die funktionellen Gruppen. </w:t>
      </w:r>
    </w:p>
    <w:p w:rsidR="00C10D28" w:rsidRDefault="003D4810" w:rsidP="003D4810">
      <w:pPr>
        <w:pStyle w:val="Listenabsatz"/>
        <w:numPr>
          <w:ilvl w:val="0"/>
          <w:numId w:val="24"/>
        </w:numPr>
      </w:pPr>
      <w:r>
        <w:t>Benennen Sie, welche Aminosäure in wässriger Lösung basisch, neutral oder sauer reagiert.</w:t>
      </w:r>
    </w:p>
    <w:p w:rsidR="003D4810" w:rsidRDefault="003D4810" w:rsidP="00BE7EC9">
      <w:pPr>
        <w:jc w:val="center"/>
      </w:pPr>
      <w:r>
        <w:rPr>
          <w:noProof/>
          <w:lang w:eastAsia="de-DE"/>
        </w:rPr>
        <w:drawing>
          <wp:inline distT="0" distB="0" distL="0" distR="0">
            <wp:extent cx="3895271" cy="1061443"/>
            <wp:effectExtent l="0" t="0" r="0" b="571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b amino.png"/>
                    <pic:cNvPicPr/>
                  </pic:nvPicPr>
                  <pic:blipFill>
                    <a:blip r:embed="rId35" cstate="print">
                      <a:extLst>
                        <a:ext uri="{28A0092B-C50C-407E-A947-70E740481C1C}">
                          <a14:useLocalDpi xmlns:a14="http://schemas.microsoft.com/office/drawing/2010/main"/>
                        </a:ext>
                      </a:extLst>
                    </a:blip>
                    <a:stretch>
                      <a:fillRect/>
                    </a:stretch>
                  </pic:blipFill>
                  <pic:spPr>
                    <a:xfrm>
                      <a:off x="0" y="0"/>
                      <a:ext cx="3895271" cy="1061443"/>
                    </a:xfrm>
                    <a:prstGeom prst="rect">
                      <a:avLst/>
                    </a:prstGeom>
                  </pic:spPr>
                </pic:pic>
              </a:graphicData>
            </a:graphic>
          </wp:inline>
        </w:drawing>
      </w:r>
    </w:p>
    <w:p w:rsidR="00BE7EC9" w:rsidRDefault="00BE7EC9" w:rsidP="003D4810">
      <w:pPr>
        <w:rPr>
          <w:b/>
        </w:rPr>
      </w:pPr>
    </w:p>
    <w:p w:rsidR="00BE7EC9" w:rsidRDefault="00BE7EC9" w:rsidP="003D4810">
      <w:pPr>
        <w:rPr>
          <w:b/>
        </w:rPr>
      </w:pPr>
    </w:p>
    <w:p w:rsidR="003D4810" w:rsidRDefault="003D4810" w:rsidP="006005BB">
      <w:pPr>
        <w:spacing w:line="240" w:lineRule="auto"/>
        <w:rPr>
          <w:b/>
        </w:rPr>
      </w:pPr>
      <w:r>
        <w:rPr>
          <w:b/>
        </w:rPr>
        <w:t>Aufgabe 2)</w:t>
      </w:r>
    </w:p>
    <w:p w:rsidR="003D4810" w:rsidRDefault="003D4810" w:rsidP="00001D5A">
      <w:pPr>
        <w:suppressAutoHyphens/>
      </w:pPr>
      <w:r>
        <w:t xml:space="preserve">Erläutern Sie </w:t>
      </w:r>
      <w:r w:rsidR="00001D5A">
        <w:t xml:space="preserve">die </w:t>
      </w:r>
      <w:r w:rsidR="006005BB">
        <w:t>Kondensation</w:t>
      </w:r>
      <w:r w:rsidR="00BE7EC9">
        <w:t xml:space="preserve"> am Beispiel der Peptidbindung zweier Glycin-Moleküle.</w:t>
      </w:r>
      <w:r w:rsidR="006005BB">
        <w:t xml:space="preserve"> Begründen sie den Reaktionsverlauf</w:t>
      </w:r>
      <w:r w:rsidR="00821E83">
        <w:t xml:space="preserve"> durch Betrachtung der funktionellen Gruppen</w:t>
      </w:r>
      <w:r w:rsidR="006005BB">
        <w:t>.</w:t>
      </w:r>
    </w:p>
    <w:p w:rsidR="00BE7EC9" w:rsidRDefault="00BE7EC9" w:rsidP="00BE7EC9">
      <w:pPr>
        <w:jc w:val="center"/>
      </w:pPr>
      <w:r>
        <w:rPr>
          <w:noProof/>
          <w:lang w:eastAsia="de-DE"/>
        </w:rPr>
        <w:drawing>
          <wp:inline distT="0" distB="0" distL="0" distR="0">
            <wp:extent cx="4572000" cy="65636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ly gly.png"/>
                    <pic:cNvPicPr/>
                  </pic:nvPicPr>
                  <pic:blipFill>
                    <a:blip r:embed="rId36" cstate="print">
                      <a:extLst>
                        <a:ext uri="{28A0092B-C50C-407E-A947-70E740481C1C}">
                          <a14:useLocalDpi xmlns:a14="http://schemas.microsoft.com/office/drawing/2010/main"/>
                        </a:ext>
                      </a:extLst>
                    </a:blip>
                    <a:stretch>
                      <a:fillRect/>
                    </a:stretch>
                  </pic:blipFill>
                  <pic:spPr>
                    <a:xfrm>
                      <a:off x="0" y="0"/>
                      <a:ext cx="4598437" cy="660155"/>
                    </a:xfrm>
                    <a:prstGeom prst="rect">
                      <a:avLst/>
                    </a:prstGeom>
                  </pic:spPr>
                </pic:pic>
              </a:graphicData>
            </a:graphic>
          </wp:inline>
        </w:drawing>
      </w:r>
    </w:p>
    <w:p w:rsidR="00BE7EC9" w:rsidRDefault="00BE7EC9" w:rsidP="00BE7EC9">
      <w:pPr>
        <w:rPr>
          <w:b/>
        </w:rPr>
      </w:pPr>
    </w:p>
    <w:p w:rsidR="006005BB" w:rsidRDefault="006005BB" w:rsidP="00BE7EC9">
      <w:pPr>
        <w:rPr>
          <w:b/>
        </w:rPr>
      </w:pPr>
    </w:p>
    <w:p w:rsidR="00BE7EC9" w:rsidRDefault="00BE7EC9" w:rsidP="00BE7EC9">
      <w:pPr>
        <w:rPr>
          <w:b/>
        </w:rPr>
      </w:pPr>
    </w:p>
    <w:p w:rsidR="00BE7EC9" w:rsidRDefault="00BE7EC9" w:rsidP="006005BB">
      <w:pPr>
        <w:spacing w:line="240" w:lineRule="auto"/>
        <w:rPr>
          <w:b/>
        </w:rPr>
      </w:pPr>
      <w:r>
        <w:rPr>
          <w:b/>
        </w:rPr>
        <w:t>Aufgabe 3)</w:t>
      </w:r>
    </w:p>
    <w:p w:rsidR="00BE7EC9" w:rsidRDefault="00BE7EC9" w:rsidP="00BE7EC9">
      <w:r>
        <w:t xml:space="preserve">Diskutieren Sie den Einfluss des pH-Wertes auf die </w:t>
      </w:r>
      <w:r w:rsidR="00FF59AC">
        <w:t>Gesamtl</w:t>
      </w:r>
      <w:r>
        <w:t>adung einer Aminosäure</w:t>
      </w:r>
      <w:r w:rsidR="00601FF0">
        <w:t xml:space="preserve"> am Beispiel des Glycins</w:t>
      </w:r>
      <w:r>
        <w:t>.</w:t>
      </w:r>
    </w:p>
    <w:p w:rsidR="00601FF0" w:rsidRPr="00BE7EC9" w:rsidRDefault="00601FF0" w:rsidP="00601FF0">
      <w:pPr>
        <w:jc w:val="center"/>
      </w:pPr>
      <w:r>
        <w:rPr>
          <w:noProof/>
          <w:lang w:eastAsia="de-DE"/>
        </w:rPr>
        <w:drawing>
          <wp:inline distT="0" distB="0" distL="0" distR="0">
            <wp:extent cx="957532" cy="505773"/>
            <wp:effectExtent l="0" t="0" r="0" b="889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ly.png"/>
                    <pic:cNvPicPr/>
                  </pic:nvPicPr>
                  <pic:blipFill>
                    <a:blip r:embed="rId37" cstate="print">
                      <a:extLst>
                        <a:ext uri="{28A0092B-C50C-407E-A947-70E740481C1C}">
                          <a14:useLocalDpi xmlns:a14="http://schemas.microsoft.com/office/drawing/2010/main"/>
                        </a:ext>
                      </a:extLst>
                    </a:blip>
                    <a:stretch>
                      <a:fillRect/>
                    </a:stretch>
                  </pic:blipFill>
                  <pic:spPr>
                    <a:xfrm>
                      <a:off x="0" y="0"/>
                      <a:ext cx="979692" cy="517478"/>
                    </a:xfrm>
                    <a:prstGeom prst="rect">
                      <a:avLst/>
                    </a:prstGeom>
                  </pic:spPr>
                </pic:pic>
              </a:graphicData>
            </a:graphic>
          </wp:inline>
        </w:drawing>
      </w:r>
    </w:p>
    <w:p w:rsidR="00A0582F" w:rsidRPr="005240FE" w:rsidRDefault="00A0582F" w:rsidP="00A0582F">
      <w:pPr>
        <w:sectPr w:rsidR="00A0582F" w:rsidRPr="005240FE" w:rsidSect="0049087A">
          <w:headerReference w:type="default" r:id="rId38"/>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6" w:name="_Toc427745702"/>
      <w:r>
        <w:rPr>
          <w:color w:val="auto"/>
        </w:rPr>
        <w:t>Didaktischer Kommentar zum Schülerarbeitsblatt</w:t>
      </w:r>
      <w:bookmarkEnd w:id="6"/>
    </w:p>
    <w:p w:rsidR="00195635" w:rsidRDefault="006005BB" w:rsidP="00B901F6">
      <w:pPr>
        <w:rPr>
          <w:color w:val="auto"/>
        </w:rPr>
      </w:pPr>
      <w:r>
        <w:rPr>
          <w:color w:val="auto"/>
        </w:rPr>
        <w:t>In diesem Arbeitsblatt üben die SuS Zusammenhänge zwischen dem chemischen Aufbau ein</w:t>
      </w:r>
      <w:r w:rsidR="00195635">
        <w:rPr>
          <w:color w:val="auto"/>
        </w:rPr>
        <w:t>er Aminosäure</w:t>
      </w:r>
      <w:r>
        <w:rPr>
          <w:color w:val="auto"/>
        </w:rPr>
        <w:t xml:space="preserve"> und seiner Reaktionsweise zu erkennen und zu begründen. Dies geschieht anhand </w:t>
      </w:r>
      <w:r w:rsidR="00195635">
        <w:rPr>
          <w:color w:val="auto"/>
        </w:rPr>
        <w:t>d</w:t>
      </w:r>
      <w:r>
        <w:rPr>
          <w:color w:val="auto"/>
        </w:rPr>
        <w:t>er Kondens</w:t>
      </w:r>
      <w:r w:rsidR="00195635">
        <w:rPr>
          <w:color w:val="auto"/>
        </w:rPr>
        <w:t xml:space="preserve">ationsreaktion von Aminosäuren, bei der eine Peptidbindung entsteht. </w:t>
      </w:r>
    </w:p>
    <w:p w:rsidR="00E13C1B" w:rsidRPr="00E13C1B" w:rsidRDefault="00E13C1B" w:rsidP="00E13C1B">
      <w:pPr>
        <w:rPr>
          <w:color w:val="auto"/>
        </w:rPr>
      </w:pPr>
      <w:r>
        <w:rPr>
          <w:color w:val="auto"/>
        </w:rPr>
        <w:t>Das Arbeitsblatt sollte zum Abschluss der Unterrichtseinheit über Aminosäuren, Peptidbindungen und Proteine ausgeteilt werden.</w:t>
      </w:r>
      <w:r w:rsidR="00821E83">
        <w:rPr>
          <w:color w:val="auto"/>
        </w:rPr>
        <w:t xml:space="preserve"> Es setzt Vorwissen im Bereich der organischen Chemie (funktionelle Gruppen, Ladungsverteilung, etc.) </w:t>
      </w:r>
      <w:r w:rsidR="00CA514B">
        <w:rPr>
          <w:color w:val="auto"/>
        </w:rPr>
        <w:t xml:space="preserve">über Säure-Base-Reaktionen, das chemische Gleichgewicht </w:t>
      </w:r>
      <w:r w:rsidR="00821E83">
        <w:rPr>
          <w:color w:val="auto"/>
        </w:rPr>
        <w:t>und über intermolekulare Wechselwirkungen voraus.</w:t>
      </w:r>
    </w:p>
    <w:p w:rsidR="00C364B2" w:rsidRDefault="00C364B2" w:rsidP="00C364B2">
      <w:pPr>
        <w:pStyle w:val="berschrift2"/>
        <w:rPr>
          <w:color w:val="auto"/>
        </w:rPr>
      </w:pPr>
      <w:bookmarkStart w:id="7" w:name="_Toc427745703"/>
      <w:r w:rsidRPr="00E54798">
        <w:rPr>
          <w:color w:val="auto"/>
        </w:rPr>
        <w:t>Erwartungshorizont</w:t>
      </w:r>
      <w:r w:rsidR="006968E6" w:rsidRPr="00E54798">
        <w:rPr>
          <w:color w:val="auto"/>
        </w:rPr>
        <w:t xml:space="preserve"> (Kerncurriculum)</w:t>
      </w:r>
      <w:bookmarkEnd w:id="7"/>
    </w:p>
    <w:p w:rsidR="00821E83" w:rsidRDefault="00821E83" w:rsidP="00821E83">
      <w:r>
        <w:t>Aufgabe 1)</w:t>
      </w:r>
    </w:p>
    <w:p w:rsidR="00821E83" w:rsidRDefault="00821E83" w:rsidP="00821E83">
      <w:r>
        <w:t>Die SuS erkennen die vorhandenen funktionellen Gruppen und ordnen diesen aus dem Unterricht bekannte fachwissenschaftliche Bezeichnungen zu (Anforderungsbereich I).</w:t>
      </w:r>
    </w:p>
    <w:p w:rsidR="00821E83" w:rsidRDefault="00821E83" w:rsidP="00821E83">
      <w:pPr>
        <w:rPr>
          <w:color w:val="auto"/>
        </w:rPr>
      </w:pPr>
      <w:r>
        <w:t xml:space="preserve">Die SuS beschreiben die funktionellen Gruppen in ihrer Funktion, indem sie ihnen funktionelle Eigenschaften zuweisen (sauer, basisch, neutral). Diese erkennen sie direkt an der Strukturformel oder aus einer Übersicht über die Einordnung der Aminosäuren in Eigenschaftsgruppen </w:t>
      </w:r>
      <w:r>
        <w:rPr>
          <w:color w:val="auto"/>
        </w:rPr>
        <w:t>(Basiskonzept Stoff-Teilchen, Kompetenzbereich Fachwissen/Fachkenntnisse).</w:t>
      </w:r>
    </w:p>
    <w:p w:rsidR="00821E83" w:rsidRDefault="00821E83" w:rsidP="00821E83">
      <w:pPr>
        <w:rPr>
          <w:color w:val="auto"/>
        </w:rPr>
      </w:pPr>
      <w:r>
        <w:rPr>
          <w:color w:val="auto"/>
        </w:rPr>
        <w:t>Aufgabe 2)</w:t>
      </w:r>
    </w:p>
    <w:p w:rsidR="00821E83" w:rsidRDefault="00CB58C6" w:rsidP="00821E83">
      <w:r>
        <w:t xml:space="preserve">Die SuS </w:t>
      </w:r>
      <w:r w:rsidR="00CA514B">
        <w:t>stellen</w:t>
      </w:r>
      <w:r>
        <w:t xml:space="preserve"> die wesentlichen Prozesse der Kondensationsreaktion zweier Aminosäuren zum Dipeptid verständlich</w:t>
      </w:r>
      <w:r w:rsidR="00CA514B">
        <w:t xml:space="preserve"> dar</w:t>
      </w:r>
      <w:r>
        <w:t>. Dabei greifen sie auf Vorwissen zurück, da die Reaktion Gegenstand des Unterrichts gewesen ist (Anforderungsbereich II).</w:t>
      </w:r>
    </w:p>
    <w:p w:rsidR="00CB58C6" w:rsidRDefault="00CB58C6" w:rsidP="00821E83">
      <w:pPr>
        <w:rPr>
          <w:color w:val="auto"/>
        </w:rPr>
      </w:pPr>
      <w:r>
        <w:t xml:space="preserve">Hierbei </w:t>
      </w:r>
      <w:r>
        <w:rPr>
          <w:color w:val="auto"/>
        </w:rPr>
        <w:t>begründen die SuS anhand der elektronischen Eigenschaft der Amino- und Carboxy-Gruppe den nucleophilen Angriff der Aminosäuren (Basiskonzept Struktur-Eigenschaften, Kompetenzbereich Fachwissen/Fachkenntnisse).</w:t>
      </w:r>
    </w:p>
    <w:p w:rsidR="00FF59AC" w:rsidRDefault="00FF59AC" w:rsidP="004B0CC6">
      <w:pPr>
        <w:spacing w:line="276" w:lineRule="auto"/>
        <w:jc w:val="left"/>
        <w:rPr>
          <w:color w:val="auto"/>
        </w:rPr>
      </w:pPr>
      <w:r>
        <w:rPr>
          <w:color w:val="auto"/>
        </w:rPr>
        <w:t>Aufgabe 3)</w:t>
      </w:r>
    </w:p>
    <w:p w:rsidR="00FF59AC" w:rsidRDefault="00FF59AC" w:rsidP="00821E83">
      <w:r>
        <w:t xml:space="preserve">Die SuS beziehen ihr Vorwissen über das chemische Gleichgewicht auf </w:t>
      </w:r>
      <w:r w:rsidR="005624F6">
        <w:t>den neuen Sachverhalt der</w:t>
      </w:r>
      <w:r>
        <w:t xml:space="preserve"> Protonierung und Deprotonierung von Aminosäuren (Anforderungsbereich III).</w:t>
      </w:r>
    </w:p>
    <w:p w:rsidR="00FF59AC" w:rsidRDefault="00FF59AC" w:rsidP="00821E83">
      <w:r>
        <w:t>Die SuS beschreiben das chemische Gleichgewicht auf Teilchenebene und wenden das Prinzip von Le Chate</w:t>
      </w:r>
      <w:r w:rsidR="005624F6">
        <w:t>lier an (Basiskonzept Kinetik und chemisches Gleichgewicht, Fachwissen/Fachkenntnisse).</w:t>
      </w:r>
    </w:p>
    <w:p w:rsidR="008C2D26" w:rsidRDefault="008C2D26" w:rsidP="008C2D26">
      <w:r>
        <w:t>Die SuS deuten Säure-Base-Reaktionen als Protonenübertragungsreaktionen nach dem Donator Akzeptor-Prinzip, wobei Aminosäuren Protonen abgeben und aufnehmen können</w:t>
      </w:r>
      <w:r w:rsidR="00D72213">
        <w:t xml:space="preserve"> (Basiskonzept Donator-Akzeptor, Fachwissen/Fachkenntnisse).</w:t>
      </w:r>
    </w:p>
    <w:p w:rsidR="00D72213" w:rsidRDefault="00D72213" w:rsidP="00D72213">
      <w:r>
        <w:t xml:space="preserve">Die SuS </w:t>
      </w:r>
      <w:r w:rsidR="008C2D26">
        <w:t>beschreiben den pH-Wert qualitativ als Maß für den Gehalt an Hydronium-/Oxoniumionen in einer wässrigen Lösung, um das Gleichgewicht von Protonierung und Deprotonierung der Aminosäuren deut</w:t>
      </w:r>
      <w:r>
        <w:t>en zu können (Basiskonzept Donator-Akzeptor, Fachwissen/Fachkenntnisse).</w:t>
      </w:r>
    </w:p>
    <w:p w:rsidR="006968E6" w:rsidRPr="00E54798" w:rsidRDefault="006968E6" w:rsidP="006968E6">
      <w:pPr>
        <w:pStyle w:val="berschrift2"/>
        <w:rPr>
          <w:color w:val="auto"/>
        </w:rPr>
      </w:pPr>
      <w:bookmarkStart w:id="8" w:name="_Toc427745704"/>
      <w:r w:rsidRPr="00E54798">
        <w:rPr>
          <w:color w:val="auto"/>
        </w:rPr>
        <w:t>Erwartungshorizont (Inhaltlich)</w:t>
      </w:r>
      <w:bookmarkEnd w:id="8"/>
    </w:p>
    <w:p w:rsidR="00F74A95" w:rsidRDefault="005624F6" w:rsidP="005B60E3">
      <w:pPr>
        <w:rPr>
          <w:rFonts w:asciiTheme="majorHAnsi" w:hAnsiTheme="majorHAnsi"/>
          <w:color w:val="auto"/>
        </w:rPr>
      </w:pPr>
      <w:r>
        <w:rPr>
          <w:rFonts w:asciiTheme="majorHAnsi" w:hAnsiTheme="majorHAnsi"/>
          <w:color w:val="auto"/>
        </w:rPr>
        <w:t>Aufgabe 1)</w:t>
      </w:r>
    </w:p>
    <w:p w:rsidR="005624F6" w:rsidRPr="00416558" w:rsidRDefault="005624F6" w:rsidP="00416558">
      <w:pPr>
        <w:rPr>
          <w:color w:val="auto"/>
        </w:rPr>
      </w:pPr>
      <w:r w:rsidRPr="00416558">
        <w:rPr>
          <w:color w:val="auto"/>
        </w:rPr>
        <w:t>Lysin trägt eine primäre Amin</w:t>
      </w:r>
      <w:r w:rsidR="00416558" w:rsidRPr="00416558">
        <w:rPr>
          <w:color w:val="auto"/>
        </w:rPr>
        <w:t>o</w:t>
      </w:r>
      <w:r w:rsidRPr="00416558">
        <w:rPr>
          <w:color w:val="auto"/>
        </w:rPr>
        <w:t xml:space="preserve">gruppe, diese reagiert in wässriger Lösung </w:t>
      </w:r>
      <w:r w:rsidR="007E5BA6" w:rsidRPr="00416558">
        <w:rPr>
          <w:color w:val="auto"/>
        </w:rPr>
        <w:t>alkalisch</w:t>
      </w:r>
      <w:r w:rsidRPr="00416558">
        <w:rPr>
          <w:color w:val="auto"/>
        </w:rPr>
        <w:t xml:space="preserve">: Das freie Elektronenpaar am Stickstoffatom ist in der Lage als Base einen Elektronenpaarakzeptor (z.B. ein Proton) zu </w:t>
      </w:r>
      <w:r w:rsidR="007E5BA6" w:rsidRPr="00416558">
        <w:rPr>
          <w:color w:val="auto"/>
        </w:rPr>
        <w:t>b</w:t>
      </w:r>
      <w:r w:rsidRPr="00416558">
        <w:rPr>
          <w:color w:val="auto"/>
        </w:rPr>
        <w:t>inden</w:t>
      </w:r>
      <w:r w:rsidR="00416558" w:rsidRPr="00416558">
        <w:rPr>
          <w:color w:val="auto"/>
        </w:rPr>
        <w:t xml:space="preserve">. Das Stickstoffatom </w:t>
      </w:r>
      <w:r w:rsidR="007E5BA6" w:rsidRPr="00416558">
        <w:rPr>
          <w:color w:val="auto"/>
        </w:rPr>
        <w:t>erhält dadurch eine positive Ladung.</w:t>
      </w:r>
    </w:p>
    <w:p w:rsidR="005624F6" w:rsidRPr="00416558" w:rsidRDefault="005624F6" w:rsidP="00416558">
      <w:pPr>
        <w:rPr>
          <w:color w:val="auto"/>
        </w:rPr>
      </w:pPr>
      <w:r w:rsidRPr="00416558">
        <w:rPr>
          <w:color w:val="auto"/>
        </w:rPr>
        <w:t xml:space="preserve">Glutaminsäure trägt eine Carboxygruppe und stellt somit eine </w:t>
      </w:r>
      <w:r w:rsidR="007E5BA6" w:rsidRPr="00416558">
        <w:rPr>
          <w:color w:val="auto"/>
        </w:rPr>
        <w:t xml:space="preserve">schwache organische Säure dar, die ein Proton abspalten kann. In wässriger Lösung reagiert Glutaminsäure sauer und </w:t>
      </w:r>
      <w:r w:rsidR="00416558" w:rsidRPr="00416558">
        <w:rPr>
          <w:color w:val="auto"/>
        </w:rPr>
        <w:t>das Kohlenstoffatom der Carboxygruppe erhält</w:t>
      </w:r>
      <w:r w:rsidR="007E5BA6" w:rsidRPr="00416558">
        <w:rPr>
          <w:color w:val="auto"/>
        </w:rPr>
        <w:t xml:space="preserve"> eine negative Ladung.</w:t>
      </w:r>
    </w:p>
    <w:p w:rsidR="007E5BA6" w:rsidRPr="00416558" w:rsidRDefault="007E5BA6" w:rsidP="00416558">
      <w:pPr>
        <w:rPr>
          <w:color w:val="auto"/>
        </w:rPr>
      </w:pPr>
      <w:r w:rsidRPr="00416558">
        <w:rPr>
          <w:color w:val="auto"/>
        </w:rPr>
        <w:t>Valin besitz</w:t>
      </w:r>
      <w:r w:rsidR="00416558">
        <w:rPr>
          <w:color w:val="auto"/>
        </w:rPr>
        <w:t>t</w:t>
      </w:r>
      <w:r w:rsidRPr="00416558">
        <w:rPr>
          <w:color w:val="auto"/>
        </w:rPr>
        <w:t xml:space="preserve"> zwei Methylgruppen als terminale funktionelle Gruppen. Diese weisen keine polare Eigenschaft auf und reagieren in wässriger Lösung neutral.</w:t>
      </w:r>
    </w:p>
    <w:p w:rsidR="007E5BA6" w:rsidRDefault="00823D23" w:rsidP="00416558">
      <w:pPr>
        <w:rPr>
          <w:color w:val="auto"/>
        </w:rPr>
      </w:pPr>
      <w:r>
        <w:rPr>
          <w:color w:val="auto"/>
        </w:rPr>
        <w:t>Aufgabe 2)</w:t>
      </w:r>
    </w:p>
    <w:p w:rsidR="00823D23" w:rsidRDefault="00823D23" w:rsidP="00416558">
      <w:pPr>
        <w:rPr>
          <w:color w:val="auto"/>
        </w:rPr>
      </w:pPr>
      <w:r>
        <w:rPr>
          <w:color w:val="auto"/>
        </w:rPr>
        <w:t>Das Stickstoffatom der Aminogruppe besitzt ein freies Elektronenpaar, ist somit elektronenreich und ein Nucleophil. Ein elektronenarmes Atom befindet sich am Kohlenstoffatom der Carboxy</w:t>
      </w:r>
      <w:r w:rsidR="000861DC">
        <w:rPr>
          <w:color w:val="auto"/>
        </w:rPr>
        <w:t>-G</w:t>
      </w:r>
      <w:r>
        <w:rPr>
          <w:color w:val="auto"/>
        </w:rPr>
        <w:t xml:space="preserve">ruppe. </w:t>
      </w:r>
      <w:r w:rsidR="000861DC">
        <w:rPr>
          <w:color w:val="auto"/>
        </w:rPr>
        <w:t xml:space="preserve">Die Sauerstoffatome der Hydroxy- und Carbonyl-Funktion innerhalb der Carboxy-Gruppe ziehen die Elektronen </w:t>
      </w:r>
      <w:r w:rsidR="00CA514B">
        <w:rPr>
          <w:color w:val="auto"/>
        </w:rPr>
        <w:t>des Kohlenstoffatoms durch eine hohe Elektronegativität an sich heran</w:t>
      </w:r>
      <w:r w:rsidR="000861DC">
        <w:rPr>
          <w:color w:val="auto"/>
        </w:rPr>
        <w:t>. Das Stickstoffatom mit seinem freien Elektronenpaar greift an diese</w:t>
      </w:r>
      <w:r w:rsidR="00601FF0">
        <w:rPr>
          <w:color w:val="auto"/>
        </w:rPr>
        <w:t>m</w:t>
      </w:r>
      <w:r w:rsidR="000861DC">
        <w:rPr>
          <w:color w:val="auto"/>
        </w:rPr>
        <w:t xml:space="preserve"> </w:t>
      </w:r>
      <w:r w:rsidR="00601FF0">
        <w:rPr>
          <w:color w:val="auto"/>
        </w:rPr>
        <w:t>Carbonyl-Kohlenstoffatom an. Nach Umlagerung von Elektronen und Wasserstoffatomen spaltet sich schließlich Wasser ab</w:t>
      </w:r>
      <w:r w:rsidR="00F6052F">
        <w:rPr>
          <w:color w:val="auto"/>
        </w:rPr>
        <w:t xml:space="preserve">. Die entstandene Bindung wird </w:t>
      </w:r>
      <w:r w:rsidR="00601FF0">
        <w:rPr>
          <w:color w:val="auto"/>
        </w:rPr>
        <w:t xml:space="preserve">Peptidbindung </w:t>
      </w:r>
      <w:r w:rsidR="00F6052F">
        <w:rPr>
          <w:color w:val="auto"/>
        </w:rPr>
        <w:t xml:space="preserve">genannt und </w:t>
      </w:r>
      <w:r w:rsidR="00601FF0">
        <w:rPr>
          <w:color w:val="auto"/>
        </w:rPr>
        <w:t>ein Dipeptid ist entstanden.</w:t>
      </w:r>
    </w:p>
    <w:p w:rsidR="00601FF0" w:rsidRDefault="00601FF0" w:rsidP="00416558">
      <w:pPr>
        <w:rPr>
          <w:color w:val="auto"/>
        </w:rPr>
      </w:pPr>
      <w:r>
        <w:rPr>
          <w:color w:val="auto"/>
        </w:rPr>
        <w:t>Aufgabe 3)</w:t>
      </w:r>
    </w:p>
    <w:p w:rsidR="00601FF0" w:rsidRDefault="00001D5A" w:rsidP="00416558">
      <w:pPr>
        <w:rPr>
          <w:color w:val="auto"/>
        </w:rPr>
      </w:pPr>
      <w:r>
        <w:rPr>
          <w:color w:val="auto"/>
        </w:rPr>
        <w:t xml:space="preserve">Aminosäuren vermögen sowohl an der Carboxy- als auch an der Aminogruppe ein Proton aufzunehmen oder abzugeben. Jedoch ist die Carboxy-Gruppe bestrebt das Proton der Hydroxyfunktion abzugeben und nur, wenn nach dem Prinzip von Le Chatelier ein Zwang entsteht, weicht das chemische Gleichgewicht aus. Dies kann erreicht werden, wenn ein niedriger pH-Wert eingestellt wird, d.h. viele Protonen vorhanden sind. </w:t>
      </w:r>
      <w:r w:rsidR="00FF4963">
        <w:rPr>
          <w:color w:val="auto"/>
        </w:rPr>
        <w:t>Ähnliches gilt für die Aminogruppe. Herrscht ein niedriger pH-Wert, liegt die Aminogruppe protoniert vor. Die Aminosäure ist insgesamt positiv geladen (keine Ladung an der Carboxy-Funktion, eine positive Ladung an der Aminogruppe). Steigt der pH-Wert, das heißt die Lösung wird alkalischer, wird zunächst die Carboxy-Gruppe deprotoniert. Für das gesamte Molekül heißt das, dass es neutral ist (eine negative Ladung an der Carboxy-Gruppe und eine positive an der Aminogruppe). Wird die Lösung sehr alkalisch gibt auch die Aminogruppe ein Proton ab – das Gesamtmolekül ist negativ geladen (eine negative Ladung an der Caboxygruppe, keine Ladung an der Aminogruppe).</w:t>
      </w:r>
    </w:p>
    <w:p w:rsidR="00FF4963" w:rsidRDefault="00FF4963" w:rsidP="00FF4963">
      <w:pPr>
        <w:jc w:val="center"/>
        <w:rPr>
          <w:color w:val="auto"/>
        </w:rPr>
      </w:pPr>
      <w:r>
        <w:rPr>
          <w:noProof/>
          <w:color w:val="auto"/>
          <w:lang w:eastAsia="de-DE"/>
        </w:rPr>
        <w:drawing>
          <wp:inline distT="0" distB="0" distL="0" distR="0">
            <wp:extent cx="3804249" cy="950663"/>
            <wp:effectExtent l="0" t="0" r="6350" b="190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ly isoel.png"/>
                    <pic:cNvPicPr/>
                  </pic:nvPicPr>
                  <pic:blipFill>
                    <a:blip r:embed="rId39" cstate="print">
                      <a:extLst>
                        <a:ext uri="{28A0092B-C50C-407E-A947-70E740481C1C}">
                          <a14:useLocalDpi xmlns:a14="http://schemas.microsoft.com/office/drawing/2010/main"/>
                        </a:ext>
                      </a:extLst>
                    </a:blip>
                    <a:stretch>
                      <a:fillRect/>
                    </a:stretch>
                  </pic:blipFill>
                  <pic:spPr>
                    <a:xfrm>
                      <a:off x="0" y="0"/>
                      <a:ext cx="3816472" cy="953717"/>
                    </a:xfrm>
                    <a:prstGeom prst="rect">
                      <a:avLst/>
                    </a:prstGeom>
                  </pic:spPr>
                </pic:pic>
              </a:graphicData>
            </a:graphic>
          </wp:inline>
        </w:drawing>
      </w:r>
    </w:p>
    <w:p w:rsidR="00FF4963" w:rsidRPr="00416558" w:rsidRDefault="00F35960" w:rsidP="00FF4963">
      <w:pPr>
        <w:jc w:val="left"/>
        <w:rPr>
          <w:color w:val="auto"/>
        </w:rPr>
      </w:pPr>
      <w:r>
        <w:rPr>
          <w:color w:val="auto"/>
        </w:rPr>
        <w:t>Für Glycin gilt: u</w:t>
      </w:r>
      <w:r w:rsidR="00FF4963">
        <w:rPr>
          <w:color w:val="auto"/>
        </w:rPr>
        <w:t xml:space="preserve">nterhalb von pH = 2,4 liegt </w:t>
      </w:r>
      <w:r>
        <w:rPr>
          <w:color w:val="auto"/>
        </w:rPr>
        <w:t>hauptsächlich</w:t>
      </w:r>
      <w:r w:rsidR="00FF4963">
        <w:rPr>
          <w:color w:val="auto"/>
        </w:rPr>
        <w:t xml:space="preserve"> das Kation </w:t>
      </w:r>
      <w:r>
        <w:rPr>
          <w:color w:val="auto"/>
        </w:rPr>
        <w:t>vor, ab pH = 9,8 hauptsächlich das Anion. Bei pH = 6,1 kompensieren sich die Ladungen. Diese Werte sind für jede Aminosäure und für Peptide spezifische Werte. Die Werte sind ebenso von den Resten abhängig.</w:t>
      </w:r>
    </w:p>
    <w:sectPr w:rsidR="00FF4963" w:rsidRPr="00416558" w:rsidSect="00A0582F">
      <w:headerReference w:type="default" r:id="rId40"/>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02" w:rsidRDefault="00775302" w:rsidP="0086227B">
      <w:pPr>
        <w:spacing w:after="0" w:line="240" w:lineRule="auto"/>
      </w:pPr>
      <w:r>
        <w:separator/>
      </w:r>
    </w:p>
  </w:endnote>
  <w:endnote w:type="continuationSeparator" w:id="0">
    <w:p w:rsidR="00775302" w:rsidRDefault="00775302"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Default="00B133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Default="00B1334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Default="00B133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02" w:rsidRDefault="00775302" w:rsidP="0086227B">
      <w:pPr>
        <w:spacing w:after="0" w:line="240" w:lineRule="auto"/>
      </w:pPr>
      <w:r>
        <w:separator/>
      </w:r>
    </w:p>
  </w:footnote>
  <w:footnote w:type="continuationSeparator" w:id="0">
    <w:p w:rsidR="00775302" w:rsidRDefault="00775302"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Default="00B133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Pr="00530637" w:rsidRDefault="00775302" w:rsidP="00530637">
    <w:pPr>
      <w:pStyle w:val="Kopfzeile"/>
      <w:tabs>
        <w:tab w:val="left" w:pos="0"/>
        <w:tab w:val="left" w:pos="284"/>
      </w:tabs>
      <w:jc w:val="left"/>
      <w:rPr>
        <w:rFonts w:asciiTheme="majorHAnsi" w:hAnsiTheme="majorHAnsi"/>
        <w:sz w:val="20"/>
        <w:szCs w:val="20"/>
      </w:rPr>
    </w:pPr>
    <w:sdt>
      <w:sdtPr>
        <w:rPr>
          <w:rFonts w:asciiTheme="majorHAnsi" w:hAnsiTheme="majorHAnsi"/>
          <w:sz w:val="20"/>
          <w:szCs w:val="20"/>
        </w:rPr>
        <w:id w:val="11588036"/>
        <w:docPartObj>
          <w:docPartGallery w:val="Page Numbers (Top of Page)"/>
          <w:docPartUnique/>
        </w:docPartObj>
      </w:sdtPr>
      <w:sdtEndPr/>
      <w:sdtContent>
        <w:r>
          <w:fldChar w:fldCharType="begin"/>
        </w:r>
        <w:r>
          <w:instrText xml:space="preserve"> STYLEREF  "Überschrift 1" \n  \* M</w:instrText>
        </w:r>
        <w:r>
          <w:instrText xml:space="preserve">ERGEFORMAT </w:instrText>
        </w:r>
        <w:r>
          <w:fldChar w:fldCharType="separate"/>
        </w:r>
        <w:r w:rsidR="00A34A8B" w:rsidRPr="00A34A8B">
          <w:rPr>
            <w:bCs/>
            <w:noProof/>
            <w:sz w:val="20"/>
            <w:szCs w:val="20"/>
          </w:rPr>
          <w:t>2</w:t>
        </w:r>
        <w:r>
          <w:rPr>
            <w:bCs/>
            <w:noProof/>
            <w:sz w:val="20"/>
            <w:szCs w:val="20"/>
          </w:rPr>
          <w:fldChar w:fldCharType="end"/>
        </w:r>
        <w:r w:rsidR="00B1334B" w:rsidRPr="00530637">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A34A8B" w:rsidRPr="00A34A8B">
          <w:rPr>
            <w:noProof/>
            <w:sz w:val="20"/>
            <w:szCs w:val="20"/>
          </w:rPr>
          <w:t>Relevanz des Themas für SuS der</w:t>
        </w:r>
        <w:r w:rsidR="00A34A8B">
          <w:rPr>
            <w:noProof/>
          </w:rPr>
          <w:t xml:space="preserve"> 11. und 12. Jahrgangsstufe und didaktische Reduktion</w:t>
        </w:r>
        <w:r>
          <w:rPr>
            <w:noProof/>
          </w:rPr>
          <w:fldChar w:fldCharType="end"/>
        </w:r>
        <w:r w:rsidR="00B1334B" w:rsidRPr="00530637">
          <w:rPr>
            <w:rFonts w:asciiTheme="majorHAnsi" w:hAnsiTheme="majorHAnsi" w:cs="Arial"/>
            <w:sz w:val="20"/>
            <w:szCs w:val="20"/>
          </w:rPr>
          <w:t xml:space="preserve"> </w:t>
        </w:r>
      </w:sdtContent>
    </w:sdt>
  </w:p>
  <w:p w:rsidR="00B1334B" w:rsidRPr="00337B69" w:rsidRDefault="003F60C3"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624E6A19" wp14:editId="75493D16">
              <wp:simplePos x="0" y="0"/>
              <wp:positionH relativeFrom="column">
                <wp:posOffset>-42545</wp:posOffset>
              </wp:positionH>
              <wp:positionV relativeFrom="paragraph">
                <wp:posOffset>38735</wp:posOffset>
              </wp:positionV>
              <wp:extent cx="5867400" cy="635"/>
              <wp:effectExtent l="0" t="0" r="19050" b="3746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B8016"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sx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WeYK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dZprMSYCAABHBAAADgAAAAAAAAAAAAAAAAAuAgAAZHJzL2Uyb0RvYy54&#10;bWxQSwECLQAUAAYACAAAACEA/2xrhNsAAAAGAQAADwAAAAAAAAAAAAAAAACA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Default="00B1334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B1334B" w:rsidRPr="00337B69" w:rsidRDefault="00775302"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B1334B" w:rsidRPr="00BE7EC9" w:rsidRDefault="00775302" w:rsidP="00BE7EC9">
        <w:pPr>
          <w:pStyle w:val="Kopfzeile"/>
          <w:tabs>
            <w:tab w:val="left" w:pos="0"/>
            <w:tab w:val="left" w:pos="284"/>
          </w:tabs>
          <w:jc w:val="left"/>
          <w:rPr>
            <w:rFonts w:asciiTheme="majorHAnsi" w:hAnsiTheme="majorHAnsi"/>
            <w:sz w:val="20"/>
            <w:szCs w:val="20"/>
          </w:rPr>
        </w:pPr>
        <w:r>
          <w:fldChar w:fldCharType="begin"/>
        </w:r>
        <w:r>
          <w:instrText xml:space="preserve"> STYLEREF  "Überschrift 1" \n  \* MERGEFORMAT </w:instrText>
        </w:r>
        <w:r>
          <w:fldChar w:fldCharType="separate"/>
        </w:r>
        <w:r w:rsidR="005F3F29" w:rsidRPr="005F3F29">
          <w:rPr>
            <w:bCs/>
            <w:noProof/>
            <w:sz w:val="20"/>
            <w:szCs w:val="20"/>
          </w:rPr>
          <w:t>5</w:t>
        </w:r>
        <w:r>
          <w:rPr>
            <w:bCs/>
            <w:noProof/>
            <w:sz w:val="20"/>
            <w:szCs w:val="20"/>
          </w:rPr>
          <w:fldChar w:fldCharType="end"/>
        </w:r>
        <w:r w:rsidR="00B1334B" w:rsidRPr="00BE7EC9">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5F3F29" w:rsidRPr="005F3F29">
          <w:rPr>
            <w:noProof/>
            <w:sz w:val="20"/>
            <w:szCs w:val="20"/>
          </w:rPr>
          <w:t>Didaktischer Kommentar zum Schülerarbeitsblatt</w:t>
        </w:r>
        <w:r>
          <w:rPr>
            <w:noProof/>
            <w:sz w:val="20"/>
            <w:szCs w:val="20"/>
          </w:rPr>
          <w:fldChar w:fldCharType="end"/>
        </w:r>
      </w:p>
    </w:sdtContent>
  </w:sdt>
  <w:p w:rsidR="00B1334B" w:rsidRPr="0080101C" w:rsidRDefault="003F60C3"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35942C8B" wp14:editId="107DB008">
              <wp:simplePos x="0" y="0"/>
              <wp:positionH relativeFrom="column">
                <wp:posOffset>-42545</wp:posOffset>
              </wp:positionH>
              <wp:positionV relativeFrom="paragraph">
                <wp:posOffset>38735</wp:posOffset>
              </wp:positionV>
              <wp:extent cx="5867400" cy="635"/>
              <wp:effectExtent l="0" t="0" r="19050"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12886"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D8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EBJQPw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5" w15:restartNumberingAfterBreak="0">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4"/>
  </w:num>
  <w:num w:numId="18">
    <w:abstractNumId w:val="3"/>
  </w:num>
  <w:num w:numId="19">
    <w:abstractNumId w:val="0"/>
  </w:num>
  <w:num w:numId="20">
    <w:abstractNumId w:val="6"/>
  </w:num>
  <w:num w:numId="21">
    <w:abstractNumId w:val="16"/>
  </w:num>
  <w:num w:numId="22">
    <w:abstractNumId w:val="15"/>
  </w:num>
  <w:num w:numId="23">
    <w:abstractNumId w:val="4"/>
  </w:num>
  <w:num w:numId="24">
    <w:abstractNumId w:val="5"/>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1022B4"/>
    <w:rsid w:val="0012481E"/>
    <w:rsid w:val="00125CEA"/>
    <w:rsid w:val="00132AD5"/>
    <w:rsid w:val="0013621E"/>
    <w:rsid w:val="00143FD1"/>
    <w:rsid w:val="00153EA8"/>
    <w:rsid w:val="00157F3D"/>
    <w:rsid w:val="00171731"/>
    <w:rsid w:val="00173EE7"/>
    <w:rsid w:val="00195635"/>
    <w:rsid w:val="001A7524"/>
    <w:rsid w:val="001B46E0"/>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28C7"/>
    <w:rsid w:val="00C460EB"/>
    <w:rsid w:val="00C51D56"/>
    <w:rsid w:val="00C66D91"/>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E13C1B"/>
    <w:rsid w:val="00E15519"/>
    <w:rsid w:val="00E17CDE"/>
    <w:rsid w:val="00E22516"/>
    <w:rsid w:val="00E22D23"/>
    <w:rsid w:val="00E24354"/>
    <w:rsid w:val="00E26180"/>
    <w:rsid w:val="00E360AC"/>
    <w:rsid w:val="00E51037"/>
    <w:rsid w:val="00E54798"/>
    <w:rsid w:val="00E84393"/>
    <w:rsid w:val="00E866D8"/>
    <w:rsid w:val="00E91F32"/>
    <w:rsid w:val="00E96AD6"/>
    <w:rsid w:val="00EA32F7"/>
    <w:rsid w:val="00EB3DFE"/>
    <w:rsid w:val="00EB3EA7"/>
    <w:rsid w:val="00EB6DB7"/>
    <w:rsid w:val="00EC1C55"/>
    <w:rsid w:val="00ED07C2"/>
    <w:rsid w:val="00ED1F5D"/>
    <w:rsid w:val="00EE1EFF"/>
    <w:rsid w:val="00EE3111"/>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BF746B-E564-4847-AF95-C3C14A6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header" Target="header3.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axel-schunk.de/experiment/edm0110.html" TargetMode="External"/><Relationship Id="rId32" Type="http://schemas.openxmlformats.org/officeDocument/2006/relationships/footer" Target="footer2.xml"/><Relationship Id="rId37" Type="http://schemas.openxmlformats.org/officeDocument/2006/relationships/image" Target="media/image22.png"/><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www.uni-muenster.de/imperia/md/content/didaktik_der_chemie/schulorientiertes/ws0607/ausarbeitungen/eiweiss.pdf" TargetMode="External"/><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header" Target="header2.xml"/><Relationship Id="rId35" Type="http://schemas.openxmlformats.org/officeDocument/2006/relationships/image" Target="media/image2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4A997ED-62F7-4606-B370-0BAD8030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2469</Words>
  <Characters>15561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2015-08-20T07:44:00Z</cp:lastPrinted>
  <dcterms:created xsi:type="dcterms:W3CDTF">2015-08-20T08:42:00Z</dcterms:created>
  <dcterms:modified xsi:type="dcterms:W3CDTF">2015-08-20T08:42:00Z</dcterms:modified>
</cp:coreProperties>
</file>