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F" w:rsidRDefault="006F184F" w:rsidP="006F184F">
      <w:pPr>
        <w:pStyle w:val="berschrift1"/>
        <w:numPr>
          <w:ilvl w:val="0"/>
          <w:numId w:val="0"/>
        </w:numPr>
      </w:pPr>
      <w:bookmarkStart w:id="0" w:name="_Toc427745701"/>
      <w:r>
        <w:rPr>
          <w:noProof/>
          <w:lang w:eastAsia="de-DE"/>
        </w:rPr>
        <mc:AlternateContent>
          <mc:Choice Requires="wps">
            <w:drawing>
              <wp:anchor distT="0" distB="0" distL="114300" distR="114300" simplePos="0" relativeHeight="251659264" behindDoc="0" locked="0" layoutInCell="1" allowOverlap="1" wp14:anchorId="352BDFCA" wp14:editId="6F350632">
                <wp:simplePos x="0" y="0"/>
                <wp:positionH relativeFrom="column">
                  <wp:posOffset>-3175</wp:posOffset>
                </wp:positionH>
                <wp:positionV relativeFrom="paragraph">
                  <wp:posOffset>614045</wp:posOffset>
                </wp:positionV>
                <wp:extent cx="5908675" cy="1333500"/>
                <wp:effectExtent l="0" t="0" r="15875" b="19050"/>
                <wp:wrapSquare wrapText="bothSides"/>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3335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184F" w:rsidRDefault="006F184F" w:rsidP="006F184F">
                            <w:pPr>
                              <w:rPr>
                                <w:color w:val="auto"/>
                              </w:rPr>
                            </w:pPr>
                            <w:r>
                              <w:rPr>
                                <w:color w:val="auto"/>
                              </w:rPr>
                              <w:t>Gelöste Proteine fallen aus, wenn ihre Struktur stark verändert wird und sich ihre Löslichkeit somit herabsetzt. Dies kann durch äußere Faktoren hervorgerufen werden, die sich auf die Sekundär- und Tertiärstruktur auswirken. Im Unterricht sollten zuvor die Eigenschaften der Aminosäurereste und die daraus resultierenden Bindungen in der Tertiärstruktur eingegan</w:t>
                            </w:r>
                            <w:bookmarkStart w:id="1" w:name="_GoBack"/>
                            <w:r>
                              <w:rPr>
                                <w:color w:val="auto"/>
                              </w:rPr>
                              <w:t>gen werden.</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BDFCA" id="_x0000_t202" coordsize="21600,21600" o:spt="202" path="m,l,21600r21600,l21600,xe">
                <v:stroke joinstyle="miter"/>
                <v:path gradientshapeok="t" o:connecttype="rect"/>
              </v:shapetype>
              <v:shape id="Text Box 60" o:spid="_x0000_s1026" type="#_x0000_t202" style="position:absolute;left:0;text-align:left;margin-left:-.25pt;margin-top:48.35pt;width:465.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97QIAACwGAAAOAAAAZHJzL2Uyb0RvYy54bWysVFtv2jAUfp+0/2D5nSYhBGjUUAGFaVJ3&#10;kdppz8Z2iDXHzmxD0k777zt2Cs3Wh01TQYp8fPnOdy7fubruaomO3FihVYGTixgjrqhmQu0L/OV+&#10;O5pjZB1RjEiteIEfuMXXi7dvrtom52Ndacm4QQCibN42Ba6ca/IosrTiNbEXuuEKDkttauLANPuI&#10;GdICei2jcRxPo1Yb1hhNubWwe9Mf4kXAL0tO3aeytNwhWWDg5sLXhO/Of6PFFcn3hjSVoE80yH+w&#10;qIlQ4PQMdUMcQQcjXkDVghptdekuqK4jXZaC8hADRJPEf0RzV5GGh1ggObY5p8m+Hiz9ePxskGBQ&#10;uxQjRWqo0T3vHFrpDk1DftrG5nDtroGLroN9uBtitc2tpt8sUnpdEbXnS2N0W3HCgF/iMxsNnvqK&#10;2Nx6kF37QTPwQw5OB6CuNLVPHqQDATrU6eFcG8+FwmZ2Gc+nswwjCmdJmqZZHNhFJD89b4x177iu&#10;kV8U2EDxAzw53lrn6ZD8dMV7s1oKthVSBsM3HF9Lg44EWkW6PkR5qIFrv5fE/td3DOxDX/X7Jxqh&#10;Zz1E8PQbulSoBdbjGbz/m2tCKVcuC/deyb2P+obYqufLYNVHUQsH4pOiLvB8EJwv4UaxIA1HhOzX&#10;kD2pPHkeZNWnFKzOwTLsQ6VCy/9YbrN4Nknno9ksS0eTdBOPVvPterRcJ9PpbLNarzbJTx9gMskr&#10;wRhXm4BpTwpMJv/W4U+zoNfOWYNngp6VPkCMdxVrERO+K9LscpxgMGAI+Hr4kiIi9zC9qDMYGe2+&#10;ClcF6fkm9BjW7Hfn1phP/T+09wA91HzgOHoRW3+jg1RBJk9ZCwrxoujl4bpdB2n3Stlp9gBaATpB&#10;EDBiYVFp84hRC+OqwPb7gRiOkXyvQG+XyWTi51swJtlsDIYZnuyGJ0RRgCqwg9DDcu36mXhojNhX&#10;4Klvf6WXoNFSBPU8s4IQvAEjKQTzND79zBva4dbzkF/8AgAA//8DAFBLAwQUAAYACAAAACEABKf7&#10;ad4AAAAIAQAADwAAAGRycy9kb3ducmV2LnhtbEyPzU7DMBCE70i8g7VI3Fobqv6lcSpUiQOUHgj0&#10;vo23SURsR7GbhD49ywmOOzOa/SbdjrYRPXWh9k7Dw1SBIFd4U7tSw+fH82QFIkR0BhvvSMM3Bdhm&#10;tzcpJsYP7p36PJaCS1xIUEMVY5tIGYqKLIapb8mxd/adxchnV0rT4cDltpGPSi2kxdrxhwpb2lVU&#10;fOUXq2H3uroOdo6474/nNn972V/VYan1/d34tAERaYx/YfjFZ3TImOnkL84E0WiYzDmoYb1YgmB7&#10;PVM87aRhpliRWSr/D8h+AAAA//8DAFBLAQItABQABgAIAAAAIQC2gziS/gAAAOEBAAATAAAAAAAA&#10;AAAAAAAAAAAAAABbQ29udGVudF9UeXBlc10ueG1sUEsBAi0AFAAGAAgAAAAhADj9If/WAAAAlAEA&#10;AAsAAAAAAAAAAAAAAAAALwEAAF9yZWxzLy5yZWxzUEsBAi0AFAAGAAgAAAAhAK36jL3tAgAALAYA&#10;AA4AAAAAAAAAAAAAAAAALgIAAGRycy9lMm9Eb2MueG1sUEsBAi0AFAAGAAgAAAAhAASn+2neAAAA&#10;CAEAAA8AAAAAAAAAAAAAAAAARwUAAGRycy9kb3ducmV2LnhtbFBLBQYAAAAABAAEAPMAAABSBgAA&#10;AAA=&#10;" fillcolor="white [3201]" strokecolor="#4bacc6 [3208]" strokeweight="1pt">
                <v:stroke dashstyle="dash"/>
                <v:shadow color="#868686"/>
                <v:textbox>
                  <w:txbxContent>
                    <w:p w:rsidR="006F184F" w:rsidRDefault="006F184F" w:rsidP="006F184F">
                      <w:pPr>
                        <w:rPr>
                          <w:color w:val="auto"/>
                        </w:rPr>
                      </w:pPr>
                      <w:r>
                        <w:rPr>
                          <w:color w:val="auto"/>
                        </w:rPr>
                        <w:t>Gelöste Proteine fallen aus, wenn ihre Struktur stark verändert wird und sich ihre Löslichkeit somit herabsetzt. Dies kann durch äußere Faktoren hervorgerufen werden, die sich auf die Sekundär- und Tertiärstruktur auswirken. Im Unterricht sollten zuvor die Eigenschaften der Aminosäurereste und die daraus resultierenden Bindungen in der Tertiärstruktur eingegan</w:t>
                      </w:r>
                      <w:bookmarkStart w:id="2" w:name="_GoBack"/>
                      <w:r>
                        <w:rPr>
                          <w:color w:val="auto"/>
                        </w:rPr>
                        <w:t>gen werden.</w:t>
                      </w:r>
                      <w:bookmarkEnd w:id="2"/>
                    </w:p>
                  </w:txbxContent>
                </v:textbox>
                <w10:wrap type="square"/>
              </v:shape>
            </w:pict>
          </mc:Fallback>
        </mc:AlternateContent>
      </w:r>
      <w:r>
        <w:t>Schülerversuch – V2 Fällung von Proteinen</w:t>
      </w:r>
      <w:bookmarkEnd w:id="0"/>
    </w:p>
    <w:p w:rsidR="006F184F" w:rsidRPr="005812F9" w:rsidRDefault="006F184F" w:rsidP="006F184F">
      <w:pPr>
        <w:spacing w:line="240" w:lineRule="auto"/>
        <w:rPr>
          <w:sz w:val="8"/>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F184F" w:rsidRPr="009C5E28" w:rsidTr="00A50D5F">
        <w:tc>
          <w:tcPr>
            <w:tcW w:w="9322" w:type="dxa"/>
            <w:gridSpan w:val="9"/>
            <w:shd w:val="clear" w:color="auto" w:fill="4F81BD"/>
            <w:vAlign w:val="center"/>
          </w:tcPr>
          <w:p w:rsidR="006F184F" w:rsidRPr="00F31EBF" w:rsidRDefault="006F184F" w:rsidP="00A50D5F">
            <w:pPr>
              <w:spacing w:after="0"/>
              <w:jc w:val="center"/>
              <w:rPr>
                <w:b/>
                <w:bCs/>
                <w:color w:val="FFFFFF" w:themeColor="background1"/>
              </w:rPr>
            </w:pPr>
            <w:r w:rsidRPr="00F31EBF">
              <w:rPr>
                <w:b/>
                <w:bCs/>
                <w:color w:val="FFFFFF" w:themeColor="background1"/>
              </w:rPr>
              <w:t>Gefahrenstoffe</w:t>
            </w:r>
          </w:p>
        </w:tc>
      </w:tr>
      <w:tr w:rsidR="006F184F" w:rsidRPr="009C5E28"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184F" w:rsidRPr="00422471" w:rsidRDefault="006F184F" w:rsidP="00A50D5F">
            <w:pPr>
              <w:spacing w:after="0" w:line="276" w:lineRule="auto"/>
              <w:jc w:val="center"/>
              <w:rPr>
                <w:bCs/>
                <w:sz w:val="20"/>
                <w:szCs w:val="20"/>
              </w:rPr>
            </w:pPr>
            <w:r w:rsidRPr="00422471">
              <w:rPr>
                <w:color w:val="000000" w:themeColor="text1"/>
                <w:sz w:val="20"/>
                <w:szCs w:val="20"/>
              </w:rPr>
              <w:t>Ethanol</w:t>
            </w:r>
          </w:p>
        </w:tc>
        <w:tc>
          <w:tcPr>
            <w:tcW w:w="3177" w:type="dxa"/>
            <w:gridSpan w:val="3"/>
            <w:tcBorders>
              <w:top w:val="single" w:sz="8" w:space="0" w:color="4F81BD"/>
              <w:bottom w:val="single" w:sz="8" w:space="0" w:color="4F81BD"/>
            </w:tcBorders>
            <w:shd w:val="clear" w:color="auto" w:fill="auto"/>
            <w:vAlign w:val="center"/>
          </w:tcPr>
          <w:p w:rsidR="006F184F" w:rsidRPr="00422471" w:rsidRDefault="006F184F" w:rsidP="00A50D5F">
            <w:pPr>
              <w:spacing w:after="0" w:line="276" w:lineRule="auto"/>
              <w:jc w:val="center"/>
              <w:rPr>
                <w:bCs/>
                <w:sz w:val="20"/>
                <w:szCs w:val="20"/>
              </w:rPr>
            </w:pPr>
            <w:r w:rsidRPr="00422471">
              <w:rPr>
                <w:color w:val="000000" w:themeColor="text1"/>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184F" w:rsidRPr="00422471" w:rsidRDefault="006F184F" w:rsidP="00A50D5F">
            <w:pPr>
              <w:spacing w:after="0" w:line="276" w:lineRule="auto"/>
              <w:jc w:val="center"/>
              <w:rPr>
                <w:bCs/>
                <w:sz w:val="20"/>
                <w:szCs w:val="20"/>
              </w:rPr>
            </w:pPr>
            <w:r w:rsidRPr="00422471">
              <w:rPr>
                <w:color w:val="000000" w:themeColor="text1"/>
                <w:sz w:val="20"/>
                <w:szCs w:val="20"/>
              </w:rPr>
              <w:t>P: 210</w:t>
            </w:r>
          </w:p>
        </w:tc>
      </w:tr>
      <w:tr w:rsidR="006F184F" w:rsidRPr="009C5E28" w:rsidTr="00A50D5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F184F" w:rsidRPr="005812F9" w:rsidRDefault="006F184F" w:rsidP="00A50D5F">
            <w:pPr>
              <w:spacing w:after="0" w:line="276" w:lineRule="auto"/>
              <w:jc w:val="center"/>
              <w:rPr>
                <w:bCs/>
                <w:sz w:val="20"/>
                <w:szCs w:val="20"/>
              </w:rPr>
            </w:pPr>
            <w:r>
              <w:rPr>
                <w:bCs/>
                <w:sz w:val="20"/>
                <w:szCs w:val="20"/>
              </w:rPr>
              <w:t>Salzsäure-Lösung</w:t>
            </w:r>
          </w:p>
        </w:tc>
        <w:tc>
          <w:tcPr>
            <w:tcW w:w="3177" w:type="dxa"/>
            <w:gridSpan w:val="3"/>
            <w:tcBorders>
              <w:top w:val="single" w:sz="8" w:space="0" w:color="4F81BD"/>
              <w:bottom w:val="single" w:sz="8" w:space="0" w:color="4F81BD"/>
            </w:tcBorders>
            <w:shd w:val="clear" w:color="auto" w:fill="auto"/>
            <w:vAlign w:val="center"/>
          </w:tcPr>
          <w:p w:rsidR="006F184F" w:rsidRPr="00422471" w:rsidRDefault="006F184F" w:rsidP="00A50D5F">
            <w:pPr>
              <w:spacing w:after="0" w:line="276" w:lineRule="auto"/>
              <w:jc w:val="center"/>
              <w:rPr>
                <w:bCs/>
                <w:sz w:val="20"/>
                <w:szCs w:val="20"/>
              </w:rPr>
            </w:pPr>
            <w:r w:rsidRPr="00422471">
              <w:rPr>
                <w:color w:val="000000" w:themeColor="text1"/>
                <w:sz w:val="20"/>
                <w:szCs w:val="20"/>
              </w:rPr>
              <w:t>H:</w:t>
            </w:r>
            <w:r>
              <w:rPr>
                <w:color w:val="000000" w:themeColor="text1"/>
                <w:sz w:val="20"/>
                <w:szCs w:val="20"/>
              </w:rPr>
              <w:t xml:space="preserve">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F184F" w:rsidRPr="00422471" w:rsidRDefault="006F184F" w:rsidP="00A50D5F">
            <w:pPr>
              <w:spacing w:after="0" w:line="276" w:lineRule="auto"/>
              <w:jc w:val="center"/>
              <w:rPr>
                <w:bCs/>
                <w:sz w:val="20"/>
                <w:szCs w:val="20"/>
              </w:rPr>
            </w:pPr>
            <w:r>
              <w:rPr>
                <w:bCs/>
                <w:sz w:val="20"/>
                <w:szCs w:val="20"/>
              </w:rPr>
              <w:t>P: 234, 260, 305+351+338, 303+361+353, 304+340, 309+311, 501.1</w:t>
            </w:r>
          </w:p>
        </w:tc>
      </w:tr>
      <w:tr w:rsidR="006F184F" w:rsidRPr="009C5E28" w:rsidTr="00A50D5F">
        <w:tc>
          <w:tcPr>
            <w:tcW w:w="1009" w:type="dxa"/>
            <w:tcBorders>
              <w:top w:val="single" w:sz="8" w:space="0" w:color="4F81BD"/>
              <w:left w:val="single" w:sz="8" w:space="0" w:color="4F81BD"/>
              <w:bottom w:val="single" w:sz="8" w:space="0" w:color="4F81BD"/>
            </w:tcBorders>
            <w:shd w:val="clear" w:color="auto" w:fill="auto"/>
            <w:vAlign w:val="center"/>
          </w:tcPr>
          <w:p w:rsidR="006F184F" w:rsidRPr="009C5E28" w:rsidRDefault="006F184F" w:rsidP="00A50D5F">
            <w:pPr>
              <w:spacing w:after="0"/>
              <w:jc w:val="center"/>
              <w:rPr>
                <w:b/>
                <w:bCs/>
              </w:rPr>
            </w:pPr>
            <w:r>
              <w:rPr>
                <w:b/>
                <w:noProof/>
                <w:lang w:eastAsia="de-DE"/>
              </w:rPr>
              <w:drawing>
                <wp:inline distT="0" distB="0" distL="0" distR="0" wp14:anchorId="603BA6BF" wp14:editId="6B78CD84">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184F" w:rsidRPr="009C5E28" w:rsidRDefault="006F184F" w:rsidP="00A50D5F">
            <w:pPr>
              <w:spacing w:after="0"/>
              <w:jc w:val="center"/>
            </w:pPr>
            <w:r>
              <w:rPr>
                <w:noProof/>
                <w:lang w:eastAsia="de-DE"/>
              </w:rPr>
              <w:drawing>
                <wp:inline distT="0" distB="0" distL="0" distR="0" wp14:anchorId="147142E2" wp14:editId="581F8A61">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184F" w:rsidRPr="009C5E28" w:rsidRDefault="006F184F" w:rsidP="00A50D5F">
            <w:pPr>
              <w:spacing w:after="0"/>
              <w:jc w:val="center"/>
            </w:pPr>
            <w:r w:rsidRPr="007D6745">
              <w:rPr>
                <w:noProof/>
                <w:color w:val="000000" w:themeColor="text1"/>
                <w:lang w:eastAsia="de-DE"/>
              </w:rPr>
              <w:drawing>
                <wp:inline distT="0" distB="0" distL="0" distR="0" wp14:anchorId="4D0C8082" wp14:editId="73AAC9D3">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184F" w:rsidRPr="009C5E28" w:rsidRDefault="006F184F" w:rsidP="00A50D5F">
            <w:pPr>
              <w:spacing w:after="0"/>
              <w:jc w:val="center"/>
            </w:pPr>
            <w:r>
              <w:rPr>
                <w:noProof/>
                <w:lang w:eastAsia="de-DE"/>
              </w:rPr>
              <w:drawing>
                <wp:inline distT="0" distB="0" distL="0" distR="0" wp14:anchorId="7A0D923E" wp14:editId="75B0589E">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F184F" w:rsidRPr="009C5E28" w:rsidRDefault="006F184F" w:rsidP="00A50D5F">
            <w:pPr>
              <w:spacing w:after="0"/>
              <w:jc w:val="center"/>
            </w:pPr>
            <w:r>
              <w:rPr>
                <w:noProof/>
                <w:lang w:eastAsia="de-DE"/>
              </w:rPr>
              <w:drawing>
                <wp:inline distT="0" distB="0" distL="0" distR="0" wp14:anchorId="0944AE99" wp14:editId="2AEAC72D">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F184F" w:rsidRPr="009C5E28" w:rsidRDefault="006F184F" w:rsidP="00A50D5F">
            <w:pPr>
              <w:spacing w:after="0"/>
              <w:jc w:val="center"/>
            </w:pPr>
            <w:r>
              <w:rPr>
                <w:noProof/>
                <w:lang w:eastAsia="de-DE"/>
              </w:rPr>
              <w:drawing>
                <wp:inline distT="0" distB="0" distL="0" distR="0" wp14:anchorId="0BE7C78B" wp14:editId="55DEC9D4">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F184F" w:rsidRPr="009C5E28" w:rsidRDefault="006F184F" w:rsidP="00A50D5F">
            <w:pPr>
              <w:spacing w:after="0"/>
              <w:jc w:val="center"/>
            </w:pPr>
            <w:r>
              <w:rPr>
                <w:noProof/>
                <w:lang w:eastAsia="de-DE"/>
              </w:rPr>
              <w:drawing>
                <wp:inline distT="0" distB="0" distL="0" distR="0" wp14:anchorId="5EF1BBE8" wp14:editId="7AC290B7">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F184F" w:rsidRPr="009C5E28" w:rsidRDefault="006F184F" w:rsidP="00A50D5F">
            <w:pPr>
              <w:spacing w:after="0"/>
              <w:jc w:val="center"/>
            </w:pPr>
            <w:r>
              <w:rPr>
                <w:noProof/>
                <w:lang w:eastAsia="de-DE"/>
              </w:rPr>
              <w:drawing>
                <wp:inline distT="0" distB="0" distL="0" distR="0" wp14:anchorId="1536A9BB" wp14:editId="6D1A181D">
                  <wp:extent cx="511175" cy="5111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F184F" w:rsidRPr="009C5E28" w:rsidRDefault="006F184F" w:rsidP="00A50D5F">
            <w:pPr>
              <w:spacing w:after="0"/>
              <w:jc w:val="center"/>
            </w:pPr>
            <w:r>
              <w:rPr>
                <w:noProof/>
                <w:lang w:eastAsia="de-DE"/>
              </w:rPr>
              <w:drawing>
                <wp:inline distT="0" distB="0" distL="0" distR="0" wp14:anchorId="1D1BFEAF" wp14:editId="560633A6">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6F184F" w:rsidRDefault="006F184F" w:rsidP="006F184F">
      <w:pPr>
        <w:tabs>
          <w:tab w:val="left" w:pos="1701"/>
          <w:tab w:val="left" w:pos="1985"/>
        </w:tabs>
        <w:ind w:left="1980" w:hanging="1980"/>
      </w:pPr>
    </w:p>
    <w:p w:rsidR="006F184F" w:rsidRDefault="006F184F" w:rsidP="006F184F">
      <w:pPr>
        <w:tabs>
          <w:tab w:val="left" w:pos="1701"/>
          <w:tab w:val="left" w:pos="1985"/>
        </w:tabs>
        <w:ind w:left="1980" w:hanging="1980"/>
      </w:pPr>
      <w:r>
        <w:t xml:space="preserve">Materialien: </w:t>
      </w:r>
      <w:r>
        <w:tab/>
      </w:r>
      <w:r>
        <w:tab/>
        <w:t xml:space="preserve">4 Reagenzgläser, 3 </w:t>
      </w:r>
      <w:proofErr w:type="spellStart"/>
      <w:r>
        <w:t>Pasteurpipetten</w:t>
      </w:r>
      <w:proofErr w:type="spellEnd"/>
      <w:r>
        <w:t>, Reagenzglasklammer, Gasbrenner</w:t>
      </w:r>
    </w:p>
    <w:p w:rsidR="006F184F" w:rsidRPr="00ED07C2" w:rsidRDefault="006F184F" w:rsidP="006F184F">
      <w:pPr>
        <w:ind w:left="1980" w:hanging="1980"/>
      </w:pPr>
      <w:r>
        <w:t>Chemikalien:</w:t>
      </w:r>
      <w:r>
        <w:tab/>
        <w:t xml:space="preserve">Eiklar-Lösung, Ethanol (96%), </w:t>
      </w:r>
      <w:proofErr w:type="spellStart"/>
      <w:r>
        <w:t>konz</w:t>
      </w:r>
      <w:proofErr w:type="spellEnd"/>
      <w:r>
        <w:t>. Salzsäure-Lösung (32%), Gerbsäure-Lösung</w:t>
      </w:r>
    </w:p>
    <w:p w:rsidR="006F184F" w:rsidRPr="00F31EBF" w:rsidRDefault="006F184F" w:rsidP="006F184F">
      <w:pPr>
        <w:ind w:left="1985" w:hanging="1985"/>
        <w:rPr>
          <w:color w:val="auto"/>
        </w:rPr>
      </w:pPr>
      <w:r>
        <w:t xml:space="preserve">Durchführung: </w:t>
      </w:r>
      <w:r>
        <w:tab/>
      </w:r>
      <w:r>
        <w:rPr>
          <w:color w:val="auto"/>
        </w:rPr>
        <w:t xml:space="preserve">Zur Herstellung der Eiklar-Lösung wird das Eiklar eines Eis mit </w:t>
      </w:r>
      <w:proofErr w:type="spellStart"/>
      <w:r>
        <w:rPr>
          <w:color w:val="auto"/>
        </w:rPr>
        <w:t>dest</w:t>
      </w:r>
      <w:proofErr w:type="spellEnd"/>
      <w:r>
        <w:rPr>
          <w:color w:val="auto"/>
        </w:rPr>
        <w:t>. Wasser, in dem 1 g Natriumchlorid gelöst ist, auf 100 mL verdünnt.</w:t>
      </w:r>
    </w:p>
    <w:p w:rsidR="006F184F" w:rsidRDefault="006F184F" w:rsidP="006F184F">
      <w:pPr>
        <w:ind w:left="1980"/>
      </w:pPr>
      <w:r>
        <w:t>Jeweils 2 mL der Eiklar-Lösung werden in 4 Reagenzgläser gegeben. Die Reagenzgläser werden wie folgt verwendet:</w:t>
      </w:r>
    </w:p>
    <w:p w:rsidR="006F184F" w:rsidRDefault="006F184F" w:rsidP="006F184F">
      <w:pPr>
        <w:pStyle w:val="Listenabsatz"/>
        <w:numPr>
          <w:ilvl w:val="0"/>
          <w:numId w:val="23"/>
        </w:numPr>
      </w:pPr>
      <w:r>
        <w:t xml:space="preserve">RG1: </w:t>
      </w:r>
      <w:r>
        <w:tab/>
        <w:t>Eiklar-Lösung + 5 Tropfen Gerbsäure</w:t>
      </w:r>
    </w:p>
    <w:p w:rsidR="006F184F" w:rsidRDefault="006F184F" w:rsidP="006F184F">
      <w:pPr>
        <w:pStyle w:val="Listenabsatz"/>
        <w:numPr>
          <w:ilvl w:val="0"/>
          <w:numId w:val="23"/>
        </w:numPr>
      </w:pPr>
      <w:r>
        <w:t xml:space="preserve">RG2: </w:t>
      </w:r>
      <w:r>
        <w:tab/>
        <w:t>Vorsichtiges Erhitzen über der Gasbrennerflamme</w:t>
      </w:r>
    </w:p>
    <w:p w:rsidR="006F184F" w:rsidRDefault="006F184F" w:rsidP="006F184F">
      <w:pPr>
        <w:pStyle w:val="Listenabsatz"/>
        <w:numPr>
          <w:ilvl w:val="0"/>
          <w:numId w:val="23"/>
        </w:numPr>
      </w:pPr>
      <w:r>
        <w:t>RG3:</w:t>
      </w:r>
      <w:r>
        <w:tab/>
        <w:t>Eiklar-Lösung + 5 Tropfen Ethanol</w:t>
      </w:r>
    </w:p>
    <w:p w:rsidR="006F184F" w:rsidRDefault="006F184F" w:rsidP="006F184F">
      <w:pPr>
        <w:pStyle w:val="Listenabsatz"/>
        <w:numPr>
          <w:ilvl w:val="0"/>
          <w:numId w:val="23"/>
        </w:numPr>
      </w:pPr>
      <w:r>
        <w:t>RG4:</w:t>
      </w:r>
      <w:r>
        <w:tab/>
        <w:t xml:space="preserve">Eiklar-Lösung + 5 Tropfen </w:t>
      </w:r>
      <w:proofErr w:type="spellStart"/>
      <w:r>
        <w:t>konz</w:t>
      </w:r>
      <w:proofErr w:type="spellEnd"/>
      <w:r>
        <w:t>. Salzsäure-Lösung.</w:t>
      </w:r>
    </w:p>
    <w:p w:rsidR="006F184F" w:rsidRDefault="006F184F" w:rsidP="006F184F">
      <w:pPr>
        <w:ind w:left="1980" w:hanging="1980"/>
      </w:pPr>
      <w:r>
        <w:t>Beobachtung:</w:t>
      </w:r>
      <w:r>
        <w:tab/>
        <w:t>In allen Reagenzgläsern bildet sich ein weißer Niederschlag: Die Gerbsäure bildet einen grobflockigen gelblich-weißen Niederschlag, in den anderen Reagenzgläsern fällt ein feinerer weißer Niederschlag aus.</w:t>
      </w:r>
    </w:p>
    <w:p w:rsidR="006F184F" w:rsidRDefault="006F184F" w:rsidP="006F184F">
      <w:pPr>
        <w:jc w:val="center"/>
      </w:pPr>
      <w:r>
        <w:rPr>
          <w:noProof/>
          <w:lang w:eastAsia="de-DE"/>
        </w:rPr>
        <w:lastRenderedPageBreak/>
        <w:drawing>
          <wp:inline distT="0" distB="0" distL="0" distR="0" wp14:anchorId="46F84A5C" wp14:editId="3E498A35">
            <wp:extent cx="1114239" cy="324000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_8685.JPG"/>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1114239" cy="3240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de-DE"/>
        </w:rPr>
        <w:drawing>
          <wp:inline distT="0" distB="0" distL="0" distR="0" wp14:anchorId="2647E47A" wp14:editId="2F14F244">
            <wp:extent cx="1669500" cy="3240000"/>
            <wp:effectExtent l="0" t="0" r="6985"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G_8853.JPG"/>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1669500" cy="3240000"/>
                    </a:xfrm>
                    <a:prstGeom prst="rect">
                      <a:avLst/>
                    </a:prstGeom>
                    <a:ln>
                      <a:noFill/>
                    </a:ln>
                    <a:extLst>
                      <a:ext uri="{53640926-AAD7-44D8-BBD7-CCE9431645EC}">
                        <a14:shadowObscured xmlns:a14="http://schemas.microsoft.com/office/drawing/2010/main"/>
                      </a:ext>
                    </a:extLst>
                  </pic:spPr>
                </pic:pic>
              </a:graphicData>
            </a:graphic>
          </wp:inline>
        </w:drawing>
      </w:r>
    </w:p>
    <w:p w:rsidR="006F184F" w:rsidRDefault="006F184F" w:rsidP="006F184F">
      <w:pPr>
        <w:pStyle w:val="Beschriftung"/>
        <w:jc w:val="center"/>
      </w:pPr>
      <w:r>
        <w:t xml:space="preserve">Abb. </w:t>
      </w:r>
      <w:r>
        <w:fldChar w:fldCharType="begin"/>
      </w:r>
      <w:r>
        <w:instrText xml:space="preserve"> SEQ Abb. \* ARABIC </w:instrText>
      </w:r>
      <w:r>
        <w:fldChar w:fldCharType="separate"/>
      </w:r>
      <w:r>
        <w:rPr>
          <w:noProof/>
        </w:rPr>
        <w:t>4</w:t>
      </w:r>
      <w:r>
        <w:fldChar w:fldCharType="end"/>
      </w:r>
      <w:r>
        <w:t xml:space="preserve">: Ausgefallene Proteine aus Eiklar-Lösung verursacht durch </w:t>
      </w:r>
      <w:proofErr w:type="spellStart"/>
      <w:r>
        <w:t>v.l.n.r</w:t>
      </w:r>
      <w:proofErr w:type="spellEnd"/>
      <w:r>
        <w:t xml:space="preserve"> Gerbsäure, Hitze, Salzsäure und Ethanol.</w:t>
      </w:r>
    </w:p>
    <w:p w:rsidR="006F184F" w:rsidRDefault="006F184F" w:rsidP="006F184F">
      <w:pPr>
        <w:ind w:left="1980" w:hanging="1980"/>
      </w:pPr>
      <w:r>
        <w:t>Deutung:</w:t>
      </w:r>
      <w:r>
        <w:tab/>
        <w:t xml:space="preserve">Alle Reagenzien führen zu einer verminderten Löslichkeit und folglich einer Fällung der in der Lösung befindlichen Proteine. Dabei ist zu beachten, dass die Proteine ihre Primärstruktur behalten, sich aber die Sekundär- und Tertiär-Struktur verändert. Bei Gerbsäuren handelt es sich </w:t>
      </w:r>
      <w:proofErr w:type="spellStart"/>
      <w:r>
        <w:t>Polyhydroxyphenole</w:t>
      </w:r>
      <w:proofErr w:type="spellEnd"/>
      <w:r>
        <w:t xml:space="preserve">, d.h. Aromaten mit vielen </w:t>
      </w:r>
      <w:proofErr w:type="spellStart"/>
      <w:r>
        <w:t>Hydroxygruppen</w:t>
      </w:r>
      <w:proofErr w:type="spellEnd"/>
      <w:r>
        <w:t xml:space="preserve">. Diese können viele Wasserstoffbrücken ausbilden und durch ihre Größe benachbarte Aminosäureketten verknüpfen. Diese neuen Verknüpfungen wirken sich negativ auf die Löslichkeit aus. Beim Erwärmen der Proteine geraten die Strukturen der Aminosäuren in starke Bewegung und es finden über neue Wasserstoffbrückenbindungen Umlagerungen statt, die sich ebenfalls negativ auf die Löslichkeit der Proteine auswirken. Ethanol stellt ein polares Lösungsmittel dar, was mit der </w:t>
      </w:r>
      <w:proofErr w:type="spellStart"/>
      <w:r>
        <w:t>Hydroxy</w:t>
      </w:r>
      <w:proofErr w:type="spellEnd"/>
      <w:r>
        <w:t xml:space="preserve">-Funktion Wasserstoffbrückenbindungen und polare Aminosäurereste neu verknüpft, was ebenfalls die Löslichkeit senkt. Salzsäure-Lösung ist stark sauer und </w:t>
      </w:r>
      <w:proofErr w:type="spellStart"/>
      <w:r>
        <w:t>protoniert</w:t>
      </w:r>
      <w:proofErr w:type="spellEnd"/>
      <w:r>
        <w:t xml:space="preserve"> </w:t>
      </w:r>
      <w:proofErr w:type="spellStart"/>
      <w:r>
        <w:t>Carboxy</w:t>
      </w:r>
      <w:proofErr w:type="spellEnd"/>
      <w:r>
        <w:t>-Gruppen an Aminosäureresten. Dies verändert die Ladung der Reste, womit die Tertiärstruktur nicht aufrecht erhalten bleibt und die Löslichkeit gesenkt wird.</w:t>
      </w:r>
    </w:p>
    <w:p w:rsidR="006F184F" w:rsidRDefault="006F184F" w:rsidP="006F184F">
      <w:pPr>
        <w:ind w:left="1980" w:hanging="1980"/>
      </w:pPr>
      <w:r>
        <w:tab/>
        <w:t>Zusammengefasst lässt sich sagen, dass die eingesetzten Stoffe die Sekundär- und Tertiärstruktur der Proteine beeinflussen, sodass diese nicht mehr löslich sind. Die Primärstruktur bleibt erhalten.</w:t>
      </w:r>
    </w:p>
    <w:p w:rsidR="006F184F" w:rsidRDefault="006F184F" w:rsidP="006F184F">
      <w:pPr>
        <w:tabs>
          <w:tab w:val="left" w:pos="1701"/>
          <w:tab w:val="left" w:pos="1985"/>
        </w:tabs>
        <w:ind w:left="1980" w:hanging="1980"/>
      </w:pPr>
      <w:r>
        <w:t>Entsorgung:</w:t>
      </w:r>
      <w:r>
        <w:tab/>
      </w:r>
      <w:r>
        <w:tab/>
        <w:t>Die Lösungen in den Reagenzgläsern können gut mit Wasser verdünnt im Ausguss entsorgt werden.</w:t>
      </w:r>
    </w:p>
    <w:p w:rsidR="006F184F" w:rsidRDefault="006F184F" w:rsidP="006F184F">
      <w:pPr>
        <w:tabs>
          <w:tab w:val="left" w:pos="1701"/>
          <w:tab w:val="left" w:pos="1985"/>
        </w:tabs>
        <w:ind w:left="1980" w:hanging="1980"/>
      </w:pPr>
      <w:r>
        <w:lastRenderedPageBreak/>
        <w:tab/>
      </w:r>
      <w:r>
        <w:tab/>
        <w:t>Restliches Ethanol im Abfall für organische Lösungsmittel entsorgen.</w:t>
      </w:r>
    </w:p>
    <w:p w:rsidR="006F184F" w:rsidRDefault="006F184F" w:rsidP="006F184F">
      <w:pPr>
        <w:tabs>
          <w:tab w:val="left" w:pos="1701"/>
          <w:tab w:val="left" w:pos="1985"/>
        </w:tabs>
        <w:ind w:left="1980" w:hanging="1980"/>
      </w:pPr>
      <w:r>
        <w:tab/>
      </w:r>
      <w:r>
        <w:tab/>
        <w:t>Restliche Salzsäure-Lösung im Behälter für Säure-Base-Abfälle entsorgen.</w:t>
      </w:r>
    </w:p>
    <w:p w:rsidR="006F184F" w:rsidRDefault="006F184F" w:rsidP="006F184F">
      <w:pPr>
        <w:tabs>
          <w:tab w:val="left" w:pos="1701"/>
          <w:tab w:val="left" w:pos="1985"/>
        </w:tabs>
        <w:ind w:left="1980" w:hanging="1980"/>
      </w:pPr>
      <w:r>
        <w:t>Literatur:</w:t>
      </w:r>
      <w:r>
        <w:tab/>
      </w:r>
      <w:r>
        <w:tab/>
      </w:r>
      <w:proofErr w:type="spellStart"/>
      <w:r w:rsidRPr="00143FD1">
        <w:t>Jakubke</w:t>
      </w:r>
      <w:proofErr w:type="spellEnd"/>
      <w:r w:rsidRPr="00143FD1">
        <w:t xml:space="preserve">, H., &amp; </w:t>
      </w:r>
      <w:proofErr w:type="spellStart"/>
      <w:r w:rsidRPr="00143FD1">
        <w:t>Jeschkeit</w:t>
      </w:r>
      <w:proofErr w:type="spellEnd"/>
      <w:r w:rsidRPr="00143FD1">
        <w:t xml:space="preserve">, H. (1982). </w:t>
      </w:r>
      <w:proofErr w:type="spellStart"/>
      <w:r w:rsidRPr="00143FD1">
        <w:rPr>
          <w:i/>
          <w:iCs/>
        </w:rPr>
        <w:t>Aminosäuren</w:t>
      </w:r>
      <w:proofErr w:type="spellEnd"/>
      <w:r w:rsidRPr="00143FD1">
        <w:rPr>
          <w:i/>
          <w:iCs/>
        </w:rPr>
        <w:t>, Peptide, Proteine</w:t>
      </w:r>
      <w:r>
        <w:t>. Weinheim: Verlag Chemie.</w:t>
      </w:r>
    </w:p>
    <w:p w:rsidR="006F184F" w:rsidRPr="00143FD1" w:rsidRDefault="006F184F" w:rsidP="006F184F">
      <w:pPr>
        <w:tabs>
          <w:tab w:val="left" w:pos="1701"/>
          <w:tab w:val="left" w:pos="1985"/>
        </w:tabs>
        <w:ind w:left="1980" w:hanging="1980"/>
      </w:pPr>
      <w:r>
        <w:tab/>
      </w:r>
      <w:r>
        <w:tab/>
        <w:t>Dittrich, L. &amp; Tietz, J. (2006). Unterrichtsreihe z</w:t>
      </w:r>
      <w:r w:rsidRPr="00143FD1">
        <w:rPr>
          <w:color w:val="auto"/>
        </w:rPr>
        <w:t xml:space="preserve">um Thema Eiweiß. </w:t>
      </w:r>
      <w:hyperlink r:id="rId19" w:history="1">
        <w:r w:rsidRPr="00143FD1">
          <w:rPr>
            <w:rStyle w:val="Hyperlink"/>
            <w:color w:val="auto"/>
            <w:u w:val="none"/>
          </w:rPr>
          <w:t>https://www.uni-muenster.de/imperia/md/content/didaktik_der_chemie/schulorientiertes/ws0607/ausarbeitungen/eiweiss.pdf</w:t>
        </w:r>
      </w:hyperlink>
      <w:r w:rsidRPr="00143FD1">
        <w:rPr>
          <w:color w:val="auto"/>
        </w:rPr>
        <w:t xml:space="preserve"> </w:t>
      </w:r>
      <w:r>
        <w:t>(abgerufen am 12.08.2015)</w:t>
      </w:r>
    </w:p>
    <w:p w:rsidR="00FF4963" w:rsidRPr="006F184F" w:rsidRDefault="006F184F" w:rsidP="006F184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519EDB4A" wp14:editId="564F95C0">
                <wp:extent cx="5873115" cy="1431925"/>
                <wp:effectExtent l="13970" t="13335" r="8890" b="12065"/>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319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184F" w:rsidRDefault="006F184F" w:rsidP="006F184F">
                            <w:pPr>
                              <w:rPr>
                                <w:b/>
                                <w:color w:val="auto"/>
                              </w:rPr>
                            </w:pPr>
                            <w:r>
                              <w:rPr>
                                <w:b/>
                                <w:color w:val="auto"/>
                              </w:rPr>
                              <w:t>Unterrichtsanschlüsse</w:t>
                            </w:r>
                          </w:p>
                          <w:p w:rsidR="006F184F" w:rsidRPr="00254598" w:rsidRDefault="006F184F" w:rsidP="006F184F">
                            <w:pPr>
                              <w:rPr>
                                <w:color w:val="auto"/>
                              </w:rPr>
                            </w:pPr>
                            <w:r>
                              <w:rPr>
                                <w:color w:val="auto"/>
                              </w:rPr>
                              <w:t>Im Unterricht kann im Anschluss besprochen werden, wo von Menschen Proteinfällungen mit ähnlichen Chemikalien oder Prozessen eingesetzt werden. Das Kochen von Fleisch oder Eiern, die Herstellung von Käse etc. beruhen auf der Fällung von Proteinen. So kann z.B. thematisiert werden, was Kälber-Lab für die Käseproduktion interessant macht.</w:t>
                            </w:r>
                          </w:p>
                        </w:txbxContent>
                      </wps:txbx>
                      <wps:bodyPr rot="0" vert="horz" wrap="square" lIns="91440" tIns="45720" rIns="91440" bIns="45720" anchor="t" anchorCtr="0" upright="1">
                        <a:noAutofit/>
                      </wps:bodyPr>
                    </wps:wsp>
                  </a:graphicData>
                </a:graphic>
              </wp:inline>
            </w:drawing>
          </mc:Choice>
          <mc:Fallback>
            <w:pict>
              <v:shape w14:anchorId="519EDB4A" id="Text Box 10" o:spid="_x0000_s1027" type="#_x0000_t202" style="width:462.45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fZ8AIAADIGAAAOAAAAZHJzL2Uyb0RvYy54bWysVNtu2zAMfR+wfxD0nvoS51KjTpGkyTCg&#10;uwDtsGdFkm1hsuRJSuxu2L+PkpM0WB82DE0AQ6KkQx6Shze3fSPRgRsrtCpwchVjxBXVTKiqwF8e&#10;t6M5RtYRxYjUihf4iVt8u3j75qZrc57qWkvGDQIQZfOuLXDtXJtHkaU1b4i90i1XcFhq0xAHW1NF&#10;zJAO0BsZpXE8jTptWGs05daC9W44xIuAX5acuk9lablDssAQmwtfE747/40WNySvDGlrQY9hkP+I&#10;oiFCgdMz1B1xBO2NeAHVCGq01aW7orqJdFkKygMHYJPEf7B5qEnLAxdIjm3PabKvB0s/Hj4bJBjU&#10;DiNFGijRI+8dWukeJSE9XWtzuPXQwj3Xg91f9VRte6/pN4uUXtdEVXxpjO5qThiEl/jERhdPfUEs&#10;PAGQXfdBM/BD9k4HoL40jQeEbCBAhzI9nUvjY6FgnMxn4ySZYEThLMnGyXU6CT5IfnreGuvecd0g&#10;vyiwgdoHeHK4t86HQ/LTlRC+loJthZRh4/uNr6VBBwKdIt1AUe4biHWwJbH/DQ0DdmirwR5MgB1a&#10;1kMET/YSXSrUQdTpDN7/zTWhlCuXhnuv5N6zviO2HuJlsBpYNMKB9qRoCjy/IOdLuFEsKMMRIYc1&#10;MJTKB8+DqoaUwq53sAx2qFTo+J/L7SSeZeP5aDabjEfZeBOPVvPterRcJ9PpbLNarzbJL08wyfJa&#10;MMbVJmDakwCT7N8a/DgKBumcJXgO0Eel98DxoWYdYsJ3xXhynUKnMwEzwNfDlxQRWcHwos5gZLT7&#10;KlwdlOeb0GNYU+3OrTGf+v+x9c7ooeYXjqMX3IYbPaQKMnnKWlCIF8UgD9fv+qMWIfteMDvNnkAy&#10;EFXQBQxaWNTa/MCog6FVYPt9TwzHSL5XILvrJMv8lAubbDJLYWMuT3aXJ0RRgCqwgwyE5doNk3Hf&#10;GlHV4GlQgdJLkGopgoieowImfgODKXA6DlE/+S734dbzqF/8BgAA//8DAFBLAwQUAAYACAAAACEA&#10;wt3FFdsAAAAFAQAADwAAAGRycy9kb3ducmV2LnhtbEyPwU7DMBBE70j8g7VI3KiTQBFN41SA1Ds0&#10;lUpv23iJo8TrKHbbwNdjuJTLSqMZzbwtVpPtxYlG3zpWkM4SEMS10y03CrbV+u4JhA/IGnvHpOCL&#10;PKzK66sCc+3O/E6nTWhELGGfowITwpBL6WtDFv3MDcTR+3SjxRDl2Eg94jmW215mSfIoLbYcFwwO&#10;9Gqo7jZHq6Drdy+4T5v7dL392FWGvnX3Vil1ezM9L0EEmsIlDL/4ER3KyHRwR9Ze9AriI+HvRm+R&#10;PSxAHBRk2XwOsizkf/ryBwAA//8DAFBLAQItABQABgAIAAAAIQC2gziS/gAAAOEBAAATAAAAAAAA&#10;AAAAAAAAAAAAAABbQ29udGVudF9UeXBlc10ueG1sUEsBAi0AFAAGAAgAAAAhADj9If/WAAAAlAEA&#10;AAsAAAAAAAAAAAAAAAAALwEAAF9yZWxzLy5yZWxzUEsBAi0AFAAGAAgAAAAhAGfqJ9nwAgAAMgYA&#10;AA4AAAAAAAAAAAAAAAAALgIAAGRycy9lMm9Eb2MueG1sUEsBAi0AFAAGAAgAAAAhAMLdxRXbAAAA&#10;BQEAAA8AAAAAAAAAAAAAAAAASgUAAGRycy9kb3ducmV2LnhtbFBLBQYAAAAABAAEAPMAAABSBgAA&#10;AAA=&#10;" fillcolor="white [3201]" strokecolor="#c0504d [3205]" strokeweight="1pt">
                <v:stroke dashstyle="dash"/>
                <v:shadow color="#868686"/>
                <v:textbox>
                  <w:txbxContent>
                    <w:p w:rsidR="006F184F" w:rsidRDefault="006F184F" w:rsidP="006F184F">
                      <w:pPr>
                        <w:rPr>
                          <w:b/>
                          <w:color w:val="auto"/>
                        </w:rPr>
                      </w:pPr>
                      <w:r>
                        <w:rPr>
                          <w:b/>
                          <w:color w:val="auto"/>
                        </w:rPr>
                        <w:t>Unterrichtsanschlüsse</w:t>
                      </w:r>
                    </w:p>
                    <w:p w:rsidR="006F184F" w:rsidRPr="00254598" w:rsidRDefault="006F184F" w:rsidP="006F184F">
                      <w:pPr>
                        <w:rPr>
                          <w:color w:val="auto"/>
                        </w:rPr>
                      </w:pPr>
                      <w:r>
                        <w:rPr>
                          <w:color w:val="auto"/>
                        </w:rPr>
                        <w:t>Im Unterricht kann im Anschluss besprochen werden, wo von Menschen Proteinfällungen mit ähnlichen Chemikalien oder Prozessen eingesetzt werden. Das Kochen von Fleisch oder Eiern, die Herstellung von Käse etc. beruhen auf der Fällung von Proteinen. So kann z.B. thematisiert werden, was Kälber-Lab für die Käseproduktion interessant macht.</w:t>
                      </w:r>
                    </w:p>
                  </w:txbxContent>
                </v:textbox>
                <w10:anchorlock/>
              </v:shape>
            </w:pict>
          </mc:Fallback>
        </mc:AlternateContent>
      </w:r>
    </w:p>
    <w:sectPr w:rsidR="00FF4963" w:rsidRPr="006F184F" w:rsidSect="00880D96">
      <w:headerReference w:type="even" r:id="rId20"/>
      <w:headerReference w:type="default" r:id="rId21"/>
      <w:footerReference w:type="even" r:id="rId22"/>
      <w:footerReference w:type="default" r:id="rId23"/>
      <w:headerReference w:type="first" r:id="rId24"/>
      <w:footerReference w:type="first" r:id="rId25"/>
      <w:pgSz w:w="11906" w:h="16838"/>
      <w:pgMar w:top="1134" w:right="1418" w:bottom="709"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F88" w:rsidRDefault="00DF3F88" w:rsidP="0086227B">
      <w:pPr>
        <w:spacing w:after="0" w:line="240" w:lineRule="auto"/>
      </w:pPr>
      <w:r>
        <w:separator/>
      </w:r>
    </w:p>
  </w:endnote>
  <w:endnote w:type="continuationSeparator" w:id="0">
    <w:p w:rsidR="00DF3F88" w:rsidRDefault="00DF3F8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F88" w:rsidRDefault="00DF3F88" w:rsidP="0086227B">
      <w:pPr>
        <w:spacing w:after="0" w:line="240" w:lineRule="auto"/>
      </w:pPr>
      <w:r>
        <w:separator/>
      </w:r>
    </w:p>
  </w:footnote>
  <w:footnote w:type="continuationSeparator" w:id="0">
    <w:p w:rsidR="00DF3F88" w:rsidRDefault="00DF3F88"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4B" w:rsidRPr="00880D96" w:rsidRDefault="00B1334B" w:rsidP="00880D9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5" w:rsidRDefault="00066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5" w15:restartNumberingAfterBreak="0">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7F19D2"/>
    <w:multiLevelType w:val="hybridMultilevel"/>
    <w:tmpl w:val="9672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7"/>
  </w:num>
  <w:num w:numId="12">
    <w:abstractNumId w:val="1"/>
  </w:num>
  <w:num w:numId="13">
    <w:abstractNumId w:val="9"/>
  </w:num>
  <w:num w:numId="14">
    <w:abstractNumId w:val="8"/>
  </w:num>
  <w:num w:numId="15">
    <w:abstractNumId w:val="13"/>
  </w:num>
  <w:num w:numId="16">
    <w:abstractNumId w:val="2"/>
  </w:num>
  <w:num w:numId="17">
    <w:abstractNumId w:val="15"/>
  </w:num>
  <w:num w:numId="18">
    <w:abstractNumId w:val="3"/>
  </w:num>
  <w:num w:numId="19">
    <w:abstractNumId w:val="0"/>
  </w:num>
  <w:num w:numId="20">
    <w:abstractNumId w:val="6"/>
  </w:num>
  <w:num w:numId="21">
    <w:abstractNumId w:val="17"/>
  </w:num>
  <w:num w:numId="22">
    <w:abstractNumId w:val="16"/>
  </w:num>
  <w:num w:numId="23">
    <w:abstractNumId w:val="4"/>
  </w:num>
  <w:num w:numId="24">
    <w:abstractNumId w:val="5"/>
  </w:num>
  <w:num w:numId="25">
    <w:abstractNumId w:val="12"/>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6015"/>
    <w:rsid w:val="0006684E"/>
    <w:rsid w:val="00066DE1"/>
    <w:rsid w:val="00067AEC"/>
    <w:rsid w:val="00072812"/>
    <w:rsid w:val="000735B9"/>
    <w:rsid w:val="00074A34"/>
    <w:rsid w:val="0007729E"/>
    <w:rsid w:val="000861DC"/>
    <w:rsid w:val="00086266"/>
    <w:rsid w:val="000972FF"/>
    <w:rsid w:val="000A57C0"/>
    <w:rsid w:val="000A7812"/>
    <w:rsid w:val="000C4EB4"/>
    <w:rsid w:val="000D10FB"/>
    <w:rsid w:val="000D2C37"/>
    <w:rsid w:val="000D7381"/>
    <w:rsid w:val="000E0EBE"/>
    <w:rsid w:val="000E21A7"/>
    <w:rsid w:val="000E7DB1"/>
    <w:rsid w:val="000F5EEC"/>
    <w:rsid w:val="000F61BA"/>
    <w:rsid w:val="001022B4"/>
    <w:rsid w:val="0012481E"/>
    <w:rsid w:val="00125CEA"/>
    <w:rsid w:val="00132AD5"/>
    <w:rsid w:val="0013621E"/>
    <w:rsid w:val="00143FD1"/>
    <w:rsid w:val="00153EA8"/>
    <w:rsid w:val="00157F3D"/>
    <w:rsid w:val="00171731"/>
    <w:rsid w:val="00173EE7"/>
    <w:rsid w:val="00195635"/>
    <w:rsid w:val="001A7524"/>
    <w:rsid w:val="001B46E0"/>
    <w:rsid w:val="001C206A"/>
    <w:rsid w:val="001C5EFC"/>
    <w:rsid w:val="001D26BD"/>
    <w:rsid w:val="001E43E5"/>
    <w:rsid w:val="001E7A33"/>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E0F34"/>
    <w:rsid w:val="002E2DD3"/>
    <w:rsid w:val="002E38A0"/>
    <w:rsid w:val="002E5491"/>
    <w:rsid w:val="002E5FCC"/>
    <w:rsid w:val="002F25D2"/>
    <w:rsid w:val="002F38EE"/>
    <w:rsid w:val="00302BE5"/>
    <w:rsid w:val="003057C7"/>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E3B4A"/>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1E65"/>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184F"/>
    <w:rsid w:val="006F4715"/>
    <w:rsid w:val="00703259"/>
    <w:rsid w:val="00707392"/>
    <w:rsid w:val="0072123D"/>
    <w:rsid w:val="007409BF"/>
    <w:rsid w:val="00745818"/>
    <w:rsid w:val="00746773"/>
    <w:rsid w:val="00775302"/>
    <w:rsid w:val="00775EEC"/>
    <w:rsid w:val="0078071E"/>
    <w:rsid w:val="00790D3B"/>
    <w:rsid w:val="0079162D"/>
    <w:rsid w:val="007A68A5"/>
    <w:rsid w:val="007A7FA8"/>
    <w:rsid w:val="007D45DB"/>
    <w:rsid w:val="007E586C"/>
    <w:rsid w:val="007E5BA6"/>
    <w:rsid w:val="007E7412"/>
    <w:rsid w:val="007F2348"/>
    <w:rsid w:val="00801678"/>
    <w:rsid w:val="008042F5"/>
    <w:rsid w:val="00815FB9"/>
    <w:rsid w:val="00821E83"/>
    <w:rsid w:val="0082230A"/>
    <w:rsid w:val="00823D23"/>
    <w:rsid w:val="008241D3"/>
    <w:rsid w:val="00837114"/>
    <w:rsid w:val="0086227B"/>
    <w:rsid w:val="008664DF"/>
    <w:rsid w:val="00875E5B"/>
    <w:rsid w:val="00880D96"/>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61A4F"/>
    <w:rsid w:val="00B636B6"/>
    <w:rsid w:val="00B901F6"/>
    <w:rsid w:val="00B93BBF"/>
    <w:rsid w:val="00B96C3C"/>
    <w:rsid w:val="00BA0E9B"/>
    <w:rsid w:val="00BC4F56"/>
    <w:rsid w:val="00BD1D31"/>
    <w:rsid w:val="00BE7EC9"/>
    <w:rsid w:val="00BF2E3A"/>
    <w:rsid w:val="00BF3982"/>
    <w:rsid w:val="00BF7B08"/>
    <w:rsid w:val="00C00B8D"/>
    <w:rsid w:val="00C01BB8"/>
    <w:rsid w:val="00C0569E"/>
    <w:rsid w:val="00C10D28"/>
    <w:rsid w:val="00C10E22"/>
    <w:rsid w:val="00C12650"/>
    <w:rsid w:val="00C13474"/>
    <w:rsid w:val="00C23319"/>
    <w:rsid w:val="00C35CC2"/>
    <w:rsid w:val="00C364B2"/>
    <w:rsid w:val="00C41275"/>
    <w:rsid w:val="00C428C7"/>
    <w:rsid w:val="00C460EB"/>
    <w:rsid w:val="00C51D56"/>
    <w:rsid w:val="00C66D91"/>
    <w:rsid w:val="00C7224E"/>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DF3F88"/>
    <w:rsid w:val="00E13C1B"/>
    <w:rsid w:val="00E15519"/>
    <w:rsid w:val="00E17CDE"/>
    <w:rsid w:val="00E22516"/>
    <w:rsid w:val="00E22D23"/>
    <w:rsid w:val="00E24354"/>
    <w:rsid w:val="00E26180"/>
    <w:rsid w:val="00E360AC"/>
    <w:rsid w:val="00E51037"/>
    <w:rsid w:val="00E54798"/>
    <w:rsid w:val="00E84393"/>
    <w:rsid w:val="00E866D8"/>
    <w:rsid w:val="00E91F32"/>
    <w:rsid w:val="00E96AD6"/>
    <w:rsid w:val="00EA32F7"/>
    <w:rsid w:val="00EB3DFE"/>
    <w:rsid w:val="00EB3EA7"/>
    <w:rsid w:val="00EB6DB7"/>
    <w:rsid w:val="00EC1C55"/>
    <w:rsid w:val="00ED07C2"/>
    <w:rsid w:val="00ED1F5D"/>
    <w:rsid w:val="00EE1EFF"/>
    <w:rsid w:val="00EE3111"/>
    <w:rsid w:val="00EE476D"/>
    <w:rsid w:val="00EE79E0"/>
    <w:rsid w:val="00EF161C"/>
    <w:rsid w:val="00EF4D51"/>
    <w:rsid w:val="00EF5479"/>
    <w:rsid w:val="00F17765"/>
    <w:rsid w:val="00F17797"/>
    <w:rsid w:val="00F2604C"/>
    <w:rsid w:val="00F26486"/>
    <w:rsid w:val="00F31EBF"/>
    <w:rsid w:val="00F3487A"/>
    <w:rsid w:val="00F35960"/>
    <w:rsid w:val="00F6052F"/>
    <w:rsid w:val="00F74A95"/>
    <w:rsid w:val="00F849B0"/>
    <w:rsid w:val="00FA486B"/>
    <w:rsid w:val="00FA58C5"/>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BF746B-E564-4847-AF95-C3C14A60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uni-muenster.de/imperia/md/content/didaktik_der_chemie/schulorientiertes/ws0607/ausarbeitungen/eiweis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C047C2B-9915-40B5-995F-B13BB0E8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Max Wolf</cp:lastModifiedBy>
  <cp:revision>6</cp:revision>
  <cp:lastPrinted>2015-08-20T07:44:00Z</cp:lastPrinted>
  <dcterms:created xsi:type="dcterms:W3CDTF">2015-08-20T09:40:00Z</dcterms:created>
  <dcterms:modified xsi:type="dcterms:W3CDTF">2015-08-20T12:19:00Z</dcterms:modified>
</cp:coreProperties>
</file>