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00" w:rsidRPr="008B2AC2" w:rsidRDefault="00037700" w:rsidP="0056353E">
      <w:pPr>
        <w:rPr>
          <w:rFonts w:asciiTheme="majorHAnsi" w:hAnsiTheme="majorHAnsi" w:cs="Arial"/>
          <w:color w:val="000000"/>
          <w:szCs w:val="24"/>
        </w:rPr>
      </w:pPr>
    </w:p>
    <w:p w:rsidR="0086227B" w:rsidRDefault="0007030B" w:rsidP="008259AE">
      <w:pPr>
        <w:pStyle w:val="berschrift1"/>
        <w:numPr>
          <w:ilvl w:val="0"/>
          <w:numId w:val="0"/>
        </w:numPr>
        <w:ind w:left="432" w:hanging="432"/>
      </w:pPr>
      <w:bookmarkStart w:id="0" w:name="_Toc425776595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-.05pt;margin-top:46.7pt;width:462.45pt;height:89.7pt;z-index:251731968;mso-width-relative:margin;mso-height-relative:margin" fillcolor="white [3201]" strokecolor="#4bacc6 [3208]" strokeweight="1pt">
            <v:stroke dashstyle="dash"/>
            <v:shadow color="#868686"/>
            <v:textbox style="mso-next-textbox:#_x0000_s1084">
              <w:txbxContent>
                <w:p w:rsidR="00AC4666" w:rsidRPr="00F31EBF" w:rsidRDefault="00AC4666" w:rsidP="000D10F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Versuch kombiniert das Säure-Base-Konzept mit Komplexgleichgewichtsreaktionen und zeigt, dass es Konkurrenzreaktionen zu Komplexbildungsreaktionen geben kann. Für ein be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 xml:space="preserve">seres Verständnis des Versuchs sollten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daher über das nötige Grundwissen zu Kompl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>xen verfügen. Der Versuch liefert eindeutige Ergebnisse und ist schnell durchführbar.</w:t>
                  </w:r>
                </w:p>
              </w:txbxContent>
            </v:textbox>
            <w10:wrap type="square"/>
          </v:shape>
        </w:pict>
      </w:r>
      <w:bookmarkStart w:id="1" w:name="_Toc427311844"/>
      <w:bookmarkEnd w:id="0"/>
      <w:r w:rsidR="00977ED8">
        <w:t>Lehrer</w:t>
      </w:r>
      <w:r w:rsidR="00F31EBF">
        <w:t xml:space="preserve">versuch – </w:t>
      </w:r>
      <w:r w:rsidR="00CD3095">
        <w:t>pH-Abhängigkeit eines Gleichgewichts</w:t>
      </w:r>
      <w:bookmarkEnd w:id="1"/>
    </w:p>
    <w:p w:rsidR="00D76F6F" w:rsidRPr="006E2E50" w:rsidRDefault="00D76F6F" w:rsidP="00F31EBF">
      <w:pPr>
        <w:pStyle w:val="berschrift2"/>
        <w:numPr>
          <w:ilvl w:val="0"/>
          <w:numId w:val="0"/>
        </w:numPr>
        <w:rPr>
          <w:b w:val="0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C6891" w:rsidRPr="009C5E28" w:rsidTr="0075028A">
        <w:tc>
          <w:tcPr>
            <w:tcW w:w="9322" w:type="dxa"/>
            <w:gridSpan w:val="9"/>
            <w:shd w:val="clear" w:color="auto" w:fill="4F81BD"/>
            <w:vAlign w:val="center"/>
          </w:tcPr>
          <w:p w:rsidR="000C6891" w:rsidRPr="00F31EBF" w:rsidRDefault="000C6891" w:rsidP="0075028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C6891" w:rsidRPr="009C5E28" w:rsidTr="0075028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Pr="003E558E" w:rsidRDefault="000C6891" w:rsidP="0075028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t>Kupfer(II)-</w:t>
            </w:r>
            <w:proofErr w:type="spellStart"/>
            <w:r>
              <w:t>sulfat</w:t>
            </w:r>
            <w:proofErr w:type="spellEnd"/>
            <w:r>
              <w:t xml:space="preserve"> </w:t>
            </w:r>
            <w:proofErr w:type="spellStart"/>
            <w:r>
              <w:t>Pentahydrat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Pr="003E558E" w:rsidRDefault="000C6891" w:rsidP="0075028A">
            <w:pPr>
              <w:spacing w:after="0"/>
              <w:jc w:val="center"/>
            </w:pPr>
            <w:r>
              <w:t>H: 302-315-319-410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C6891" w:rsidRPr="003E558E" w:rsidRDefault="000C6891" w:rsidP="0075028A">
            <w:pPr>
              <w:spacing w:after="0"/>
              <w:jc w:val="center"/>
            </w:pPr>
            <w:r w:rsidRPr="003E558E">
              <w:t xml:space="preserve">P: </w:t>
            </w:r>
            <w:hyperlink r:id="rId8" w:anchor="P-S.C3.A4tze" w:tooltip="H- und P-Sätze" w:history="1">
              <w:r w:rsidRPr="003E558E">
                <w:rPr>
                  <w:rStyle w:val="Hyperlink"/>
                  <w:color w:val="auto"/>
                  <w:u w:val="none"/>
                </w:rPr>
                <w:t>2</w:t>
              </w:r>
              <w:r>
                <w:rPr>
                  <w:rStyle w:val="Hyperlink"/>
                  <w:color w:val="auto"/>
                  <w:u w:val="none"/>
                </w:rPr>
                <w:t>73</w:t>
              </w:r>
            </w:hyperlink>
            <w:r w:rsidRPr="003E558E">
              <w:t>-​</w:t>
            </w:r>
            <w:hyperlink r:id="rId9" w:anchor="P-S.C3.A4tze" w:tooltip="H- und P-Sätze" w:history="1">
              <w:r w:rsidRPr="003E558E">
                <w:rPr>
                  <w:rStyle w:val="Hyperlink"/>
                  <w:color w:val="auto"/>
                  <w:u w:val="none"/>
                </w:rPr>
                <w:t>30</w:t>
              </w:r>
              <w:r>
                <w:rPr>
                  <w:rStyle w:val="Hyperlink"/>
                  <w:color w:val="auto"/>
                  <w:u w:val="none"/>
                </w:rPr>
                <w:t>2</w:t>
              </w:r>
              <w:r w:rsidRPr="003E558E">
                <w:rPr>
                  <w:rStyle w:val="Hyperlink"/>
                  <w:color w:val="auto"/>
                  <w:u w:val="none"/>
                </w:rPr>
                <w:t>+3</w:t>
              </w:r>
              <w:r>
                <w:rPr>
                  <w:rStyle w:val="Hyperlink"/>
                  <w:color w:val="auto"/>
                  <w:u w:val="none"/>
                </w:rPr>
                <w:t>52</w:t>
              </w:r>
            </w:hyperlink>
            <w:r w:rsidRPr="003E558E">
              <w:t>-305+351+338</w:t>
            </w:r>
          </w:p>
        </w:tc>
      </w:tr>
      <w:tr w:rsidR="000C6891" w:rsidRPr="009C5E28" w:rsidTr="0075028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Pr="003E558E" w:rsidRDefault="000C6891" w:rsidP="000C6891">
            <w:pPr>
              <w:spacing w:after="0" w:line="276" w:lineRule="auto"/>
              <w:jc w:val="center"/>
              <w:rPr>
                <w:b/>
                <w:bCs/>
              </w:rPr>
            </w:pPr>
            <w:r>
              <w:t>Ammoniak</w:t>
            </w:r>
            <w:r w:rsidR="006E2E50">
              <w:t xml:space="preserve"> </w:t>
            </w:r>
            <w:r w:rsidR="006E2E50" w:rsidRPr="006E2E50">
              <w:rPr>
                <w:rFonts w:asciiTheme="majorHAnsi" w:hAnsiTheme="majorHAnsi"/>
              </w:rPr>
              <w:t xml:space="preserve">(c = </w:t>
            </w:r>
            <w:r w:rsidR="006E2E50" w:rsidRPr="006E2E50">
              <w:rPr>
                <w:rFonts w:asciiTheme="majorHAnsi" w:hAnsiTheme="majorHAnsi" w:cs="Arial"/>
              </w:rPr>
              <w:t xml:space="preserve">13,30 </w:t>
            </w:r>
            <w:proofErr w:type="spellStart"/>
            <w:r w:rsidR="006E2E50" w:rsidRPr="006E2E50">
              <w:rPr>
                <w:rFonts w:asciiTheme="majorHAnsi" w:hAnsiTheme="majorHAnsi" w:cs="Arial"/>
              </w:rPr>
              <w:t>mol</w:t>
            </w:r>
            <w:proofErr w:type="spellEnd"/>
            <w:r w:rsidR="006E2E50" w:rsidRPr="006E2E50">
              <w:rPr>
                <w:rFonts w:asciiTheme="majorHAnsi" w:hAnsiTheme="majorHAnsi" w:cs="Arial"/>
              </w:rPr>
              <w:t>/l)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Pr="003E558E" w:rsidRDefault="000C6891" w:rsidP="000C6891">
            <w:pPr>
              <w:spacing w:after="0"/>
              <w:jc w:val="center"/>
            </w:pPr>
            <w:r>
              <w:t>H: 314-335-400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C6891" w:rsidRPr="003E558E" w:rsidRDefault="000C6891" w:rsidP="000C6891">
            <w:pPr>
              <w:spacing w:after="0"/>
              <w:jc w:val="center"/>
            </w:pPr>
            <w:r w:rsidRPr="003E558E">
              <w:t xml:space="preserve">P: </w:t>
            </w:r>
            <w:hyperlink r:id="rId10" w:anchor="P-S.C3.A4tze" w:tooltip="H- und P-Sätze" w:history="1">
              <w:r w:rsidRPr="003E558E">
                <w:rPr>
                  <w:rStyle w:val="Hyperlink"/>
                  <w:color w:val="auto"/>
                  <w:u w:val="none"/>
                </w:rPr>
                <w:t>2</w:t>
              </w:r>
              <w:r>
                <w:rPr>
                  <w:rStyle w:val="Hyperlink"/>
                  <w:color w:val="auto"/>
                  <w:u w:val="none"/>
                </w:rPr>
                <w:t>73</w:t>
              </w:r>
            </w:hyperlink>
            <w:r>
              <w:t>-280</w:t>
            </w:r>
            <w:r w:rsidRPr="003E558E">
              <w:t>-​</w:t>
            </w:r>
            <w:r>
              <w:t>301+330+331-</w:t>
            </w:r>
            <w:hyperlink r:id="rId11" w:anchor="P-S.C3.A4tze" w:tooltip="H- und P-Sätze" w:history="1">
              <w:r w:rsidRPr="003E558E">
                <w:rPr>
                  <w:rStyle w:val="Hyperlink"/>
                  <w:color w:val="auto"/>
                  <w:u w:val="none"/>
                </w:rPr>
                <w:t>3</w:t>
              </w:r>
              <w:r>
                <w:rPr>
                  <w:rStyle w:val="Hyperlink"/>
                  <w:color w:val="auto"/>
                  <w:u w:val="none"/>
                </w:rPr>
                <w:t>53</w:t>
              </w:r>
            </w:hyperlink>
            <w:r>
              <w:t xml:space="preserve"> 309+311– 304+340</w:t>
            </w:r>
            <w:r w:rsidRPr="003E558E">
              <w:t>-305+351+338</w:t>
            </w:r>
            <w:r>
              <w:t>-309+310</w:t>
            </w:r>
          </w:p>
        </w:tc>
      </w:tr>
      <w:tr w:rsidR="000C6891" w:rsidRPr="009C5E28" w:rsidTr="0075028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Default="000C6891" w:rsidP="0075028A">
            <w:pPr>
              <w:spacing w:after="0" w:line="276" w:lineRule="auto"/>
              <w:jc w:val="center"/>
            </w:pPr>
            <w:r>
              <w:t>Schwefelsäure</w:t>
            </w:r>
            <w:r w:rsidR="006E2E50">
              <w:t xml:space="preserve"> (halbkonze</w:t>
            </w:r>
            <w:r w:rsidR="006E2E50">
              <w:t>n</w:t>
            </w:r>
            <w:r w:rsidR="006E2E50">
              <w:t>triert)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Default="000C6891" w:rsidP="0075028A">
            <w:pPr>
              <w:spacing w:after="0"/>
              <w:jc w:val="center"/>
            </w:pPr>
            <w:r>
              <w:t>H:</w:t>
            </w:r>
            <w:r w:rsidR="00D32FF9">
              <w:t xml:space="preserve">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C6891" w:rsidRPr="003E558E" w:rsidRDefault="000C6891" w:rsidP="0075028A">
            <w:pPr>
              <w:spacing w:after="0"/>
              <w:jc w:val="center"/>
            </w:pPr>
            <w:r>
              <w:t>P:</w:t>
            </w:r>
            <w:r w:rsidR="00D32FF9">
              <w:t xml:space="preserve"> -</w:t>
            </w:r>
          </w:p>
        </w:tc>
      </w:tr>
      <w:tr w:rsidR="000C6891" w:rsidRPr="009C5E28" w:rsidTr="0075028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Default="000C6891" w:rsidP="0075028A">
            <w:pPr>
              <w:spacing w:after="0" w:line="276" w:lineRule="auto"/>
              <w:jc w:val="center"/>
            </w:pPr>
            <w: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Default="000C6891" w:rsidP="0075028A">
            <w:pPr>
              <w:spacing w:after="0"/>
              <w:jc w:val="center"/>
            </w:pPr>
            <w:r>
              <w:t>H:</w:t>
            </w:r>
            <w:r w:rsidR="00D32FF9">
              <w:t xml:space="preserve">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C6891" w:rsidRPr="003E558E" w:rsidRDefault="000C6891" w:rsidP="0075028A">
            <w:pPr>
              <w:spacing w:after="0"/>
              <w:jc w:val="center"/>
            </w:pPr>
            <w:r>
              <w:t>P:</w:t>
            </w:r>
            <w:r w:rsidR="00D32FF9">
              <w:t xml:space="preserve"> -</w:t>
            </w:r>
          </w:p>
        </w:tc>
      </w:tr>
      <w:tr w:rsidR="000C6891" w:rsidRPr="009C5E28" w:rsidTr="0075028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Pr="009C5E28" w:rsidRDefault="000C6891" w:rsidP="0075028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Pr="009C5E28" w:rsidRDefault="000C6891" w:rsidP="007502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Pr="009C5E28" w:rsidRDefault="000C6891" w:rsidP="007502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Pr="009C5E28" w:rsidRDefault="000C6891" w:rsidP="007502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Pr="009C5E28" w:rsidRDefault="000C6891" w:rsidP="007502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Pr="009C5E28" w:rsidRDefault="000C6891" w:rsidP="007502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Pr="009C5E28" w:rsidRDefault="000C6891" w:rsidP="007502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C6891" w:rsidRPr="009C5E28" w:rsidRDefault="000C6891" w:rsidP="007502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4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C6891" w:rsidRPr="009C5E28" w:rsidRDefault="000C6891" w:rsidP="0075028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9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891" w:rsidRPr="000C6891" w:rsidRDefault="000C6891" w:rsidP="000C6891"/>
    <w:p w:rsidR="00A9233D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CD3095">
        <w:t>Becherglas</w:t>
      </w:r>
      <w:r w:rsidR="007F3024">
        <w:t xml:space="preserve"> (50</w:t>
      </w:r>
      <w:r w:rsidR="00AD4559">
        <w:t> </w:t>
      </w:r>
      <w:proofErr w:type="spellStart"/>
      <w:r w:rsidR="007F3024">
        <w:t>m</w:t>
      </w:r>
      <w:r w:rsidR="00AD4559">
        <w:t>L</w:t>
      </w:r>
      <w:proofErr w:type="spellEnd"/>
      <w:r w:rsidR="007F3024">
        <w:t>)</w:t>
      </w:r>
      <w:r w:rsidR="00CD3095">
        <w:t xml:space="preserve">, </w:t>
      </w:r>
      <w:proofErr w:type="spellStart"/>
      <w:r w:rsidR="00FE7A25">
        <w:t>Pasteurpipetten</w:t>
      </w:r>
      <w:proofErr w:type="spellEnd"/>
      <w:r w:rsidR="00FE7A25">
        <w:t xml:space="preserve">, </w:t>
      </w:r>
      <w:proofErr w:type="spellStart"/>
      <w:r w:rsidR="00FE7A25">
        <w:t>Rührstab</w:t>
      </w:r>
      <w:proofErr w:type="spellEnd"/>
      <w:r w:rsidR="00FE7A25">
        <w:t xml:space="preserve">, </w:t>
      </w:r>
      <w:r w:rsidR="00CD3095">
        <w:t>Reagenzgläser</w:t>
      </w:r>
    </w:p>
    <w:p w:rsidR="003D6040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0C6891">
        <w:t>Kupfer(II)-</w:t>
      </w:r>
      <w:proofErr w:type="spellStart"/>
      <w:r w:rsidR="000C6891">
        <w:t>sulfat</w:t>
      </w:r>
      <w:proofErr w:type="spellEnd"/>
      <w:r w:rsidR="000C6891">
        <w:t xml:space="preserve"> </w:t>
      </w:r>
      <w:proofErr w:type="spellStart"/>
      <w:r w:rsidR="000C6891">
        <w:t>Pentahydrat</w:t>
      </w:r>
      <w:proofErr w:type="spellEnd"/>
      <w:r w:rsidR="000C6891">
        <w:t xml:space="preserve">, halbkonzentrierte </w:t>
      </w:r>
    </w:p>
    <w:p w:rsidR="008E1A25" w:rsidRPr="00ED07C2" w:rsidRDefault="003D6040" w:rsidP="008E1A2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 w:rsidR="000C6891">
        <w:t>Schwefelsäure, konzentrierte Ammoniaklösung, Destilliertes Wasser</w:t>
      </w:r>
    </w:p>
    <w:p w:rsidR="007F3024" w:rsidRPr="007F3024" w:rsidRDefault="008E1A25" w:rsidP="007F3024">
      <w:pPr>
        <w:tabs>
          <w:tab w:val="left" w:pos="1701"/>
          <w:tab w:val="left" w:pos="1985"/>
        </w:tabs>
        <w:ind w:left="1979" w:hanging="1979"/>
      </w:pPr>
      <w:r>
        <w:t xml:space="preserve">Durchführung: </w:t>
      </w:r>
      <w:r>
        <w:tab/>
      </w:r>
      <w:r>
        <w:tab/>
      </w:r>
      <w:r>
        <w:tab/>
      </w:r>
      <w:r w:rsidR="00AF412B" w:rsidRPr="007F3024">
        <w:t>Es werden 10</w:t>
      </w:r>
      <w:r w:rsidR="00AD4559">
        <w:t> </w:t>
      </w:r>
      <w:proofErr w:type="spellStart"/>
      <w:r w:rsidR="00AF412B" w:rsidRPr="00B15242">
        <w:t>mL</w:t>
      </w:r>
      <w:proofErr w:type="spellEnd"/>
      <w:r w:rsidR="00AF412B" w:rsidRPr="007F3024">
        <w:t xml:space="preserve"> </w:t>
      </w:r>
      <w:r w:rsidR="007F3024" w:rsidRPr="007F3024">
        <w:t>einer 0,01 M Kupfersulfat-Lösung (m</w:t>
      </w:r>
      <w:r w:rsidR="00AD4559">
        <w:t xml:space="preserve"> </w:t>
      </w:r>
      <w:r w:rsidR="007F3024" w:rsidRPr="007F3024">
        <w:t>= 0,025 g) herg</w:t>
      </w:r>
      <w:r w:rsidR="007F3024" w:rsidRPr="007F3024">
        <w:t>e</w:t>
      </w:r>
      <w:r w:rsidR="007F3024" w:rsidRPr="007F3024">
        <w:t xml:space="preserve">stellt und </w:t>
      </w:r>
      <w:r w:rsidR="008E66FC">
        <w:t>in 3 Reagenzgläser gegeben. In zwei Reagenzgläser wird die Ku</w:t>
      </w:r>
      <w:r w:rsidR="008E66FC">
        <w:t>p</w:t>
      </w:r>
      <w:r w:rsidR="008E66FC">
        <w:t xml:space="preserve">fersulfat-Lösung </w:t>
      </w:r>
      <w:r w:rsidR="007F3024" w:rsidRPr="007F3024">
        <w:t>tropfenweise mit konzentrierter Ammoniaklösung ve</w:t>
      </w:r>
      <w:r w:rsidR="007F3024" w:rsidRPr="007F3024">
        <w:t>r</w:t>
      </w:r>
      <w:r w:rsidR="007F3024" w:rsidRPr="007F3024">
        <w:t>setzt, bis die Lösung eine intensive blaue Färbung zeigt. Danach wird s</w:t>
      </w:r>
      <w:r w:rsidR="007F3024" w:rsidRPr="007F3024">
        <w:t>o</w:t>
      </w:r>
      <w:r w:rsidR="007F3024" w:rsidRPr="007F3024">
        <w:t>lange halbkonzentrierte Schwefelsäure hinzugegeben, bis diese Färbung verschwunden ist und anschließend erneut konzentrierte Ammoniakl</w:t>
      </w:r>
      <w:r w:rsidR="007F3024" w:rsidRPr="007F3024">
        <w:t>ö</w:t>
      </w:r>
      <w:r w:rsidR="007F3024" w:rsidRPr="007F3024">
        <w:t>sung hinzu getropft.</w:t>
      </w:r>
    </w:p>
    <w:p w:rsidR="008E1A25" w:rsidRPr="007F3024" w:rsidRDefault="00AF412B" w:rsidP="007F3024">
      <w:pPr>
        <w:tabs>
          <w:tab w:val="left" w:pos="1701"/>
          <w:tab w:val="left" w:pos="1985"/>
        </w:tabs>
        <w:ind w:left="1979" w:hanging="1979"/>
      </w:pPr>
      <w:r w:rsidRPr="007F3024">
        <w:t>Beobachtung:</w:t>
      </w:r>
      <w:r w:rsidRPr="007F3024">
        <w:tab/>
      </w:r>
      <w:r w:rsidRPr="007F3024">
        <w:tab/>
      </w:r>
      <w:r w:rsidR="007F3024" w:rsidRPr="007F3024">
        <w:t xml:space="preserve">Die hellblaue </w:t>
      </w:r>
      <w:proofErr w:type="spellStart"/>
      <w:r w:rsidR="007F3024" w:rsidRPr="007F3024">
        <w:t>Kupfersulfatlösung</w:t>
      </w:r>
      <w:proofErr w:type="spellEnd"/>
      <w:r w:rsidR="007F3024" w:rsidRPr="007F3024">
        <w:t xml:space="preserve"> färbt sich bei Zugabe von konzentrierter Ammoniaklösung dunkelblau</w:t>
      </w:r>
      <w:r w:rsidR="007F3024">
        <w:t xml:space="preserve"> und es entsteht ein hellblauer Niederschlag</w:t>
      </w:r>
      <w:r w:rsidR="007F3024" w:rsidRPr="007F3024">
        <w:t>. Durch Zugabe von halbkonzentrierter Schwefelsäure entfärbt sich die L</w:t>
      </w:r>
      <w:r w:rsidR="007F3024" w:rsidRPr="007F3024">
        <w:t>ö</w:t>
      </w:r>
      <w:r w:rsidR="007F3024" w:rsidRPr="007F3024">
        <w:lastRenderedPageBreak/>
        <w:t>sung. Bei erneuter Zugabe von Ammoniaklösung wird die Lösung wieder dunkelblau.</w:t>
      </w:r>
    </w:p>
    <w:p w:rsidR="00B901F6" w:rsidRDefault="00E64751" w:rsidP="00B901F6">
      <w:pPr>
        <w:keepNext/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>
        <w:rPr>
          <w:noProof/>
          <w:lang w:eastAsia="de-DE"/>
        </w:rPr>
        <w:drawing>
          <wp:inline distT="0" distB="0" distL="0" distR="0">
            <wp:extent cx="3431516" cy="1807380"/>
            <wp:effectExtent l="19050" t="0" r="0" b="0"/>
            <wp:docPr id="8" name="Grafik 7" descr="20150807_09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7_094938.jpg"/>
                    <pic:cNvPicPr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2406" cy="180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1F6" w:rsidRDefault="00B901F6" w:rsidP="006B3F84">
      <w:pPr>
        <w:pStyle w:val="Beschriftung"/>
        <w:ind w:left="2124"/>
        <w:jc w:val="left"/>
      </w:pPr>
      <w:r>
        <w:t xml:space="preserve">Abb. </w:t>
      </w:r>
      <w:r w:rsidR="0007030B">
        <w:fldChar w:fldCharType="begin"/>
      </w:r>
      <w:r w:rsidR="009922F5">
        <w:instrText xml:space="preserve"> SEQ Abb. \* ARABIC </w:instrText>
      </w:r>
      <w:r w:rsidR="0007030B">
        <w:fldChar w:fldCharType="separate"/>
      </w:r>
      <w:r w:rsidR="00D215F8">
        <w:rPr>
          <w:noProof/>
        </w:rPr>
        <w:t>1</w:t>
      </w:r>
      <w:r w:rsidR="0007030B">
        <w:fldChar w:fldCharType="end"/>
      </w:r>
      <w:r w:rsidR="006E2E50">
        <w:t xml:space="preserve"> - </w:t>
      </w:r>
      <w:r w:rsidR="006B3F84">
        <w:rPr>
          <w:noProof/>
        </w:rPr>
        <w:t>Kupfersulfatlösung</w:t>
      </w:r>
      <w:r w:rsidR="006E2E50">
        <w:rPr>
          <w:noProof/>
        </w:rPr>
        <w:t xml:space="preserve"> (links)</w:t>
      </w:r>
      <w:r w:rsidR="006B3F84">
        <w:rPr>
          <w:noProof/>
        </w:rPr>
        <w:t>, Kupfersulfatlösung mit Ammoniak</w:t>
      </w:r>
      <w:r w:rsidR="006E2E50">
        <w:rPr>
          <w:noProof/>
        </w:rPr>
        <w:t xml:space="preserve"> (mitte links)</w:t>
      </w:r>
      <w:r w:rsidR="006B3F84">
        <w:rPr>
          <w:noProof/>
        </w:rPr>
        <w:t>, nach Zugabe von Schwefelsäure</w:t>
      </w:r>
      <w:r w:rsidR="006E2E50">
        <w:rPr>
          <w:noProof/>
        </w:rPr>
        <w:t xml:space="preserve"> (mitte rechts)</w:t>
      </w:r>
      <w:r w:rsidR="006B3F84">
        <w:rPr>
          <w:noProof/>
        </w:rPr>
        <w:t xml:space="preserve"> und erneute Zugabe von Ammoniak</w:t>
      </w:r>
      <w:r w:rsidR="006E2E50">
        <w:rPr>
          <w:noProof/>
        </w:rPr>
        <w:t xml:space="preserve"> (rechts)</w:t>
      </w:r>
      <w:r w:rsidR="00A0582F">
        <w:rPr>
          <w:noProof/>
        </w:rPr>
        <w:t>.</w:t>
      </w:r>
    </w:p>
    <w:p w:rsidR="00570828" w:rsidRPr="00570828" w:rsidRDefault="00173863" w:rsidP="00570828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LMRoman10-Regular"/>
          <w:color w:val="auto"/>
        </w:rPr>
      </w:pPr>
      <w:r>
        <w:rPr>
          <w:rFonts w:asciiTheme="majorHAnsi" w:hAnsiTheme="majorHAnsi"/>
        </w:rPr>
        <w:t>Deutung:</w:t>
      </w:r>
      <w:r>
        <w:rPr>
          <w:rFonts w:asciiTheme="majorHAnsi" w:hAnsiTheme="majorHAnsi"/>
        </w:rPr>
        <w:tab/>
      </w:r>
      <w:r w:rsidR="00570828" w:rsidRPr="00570828">
        <w:rPr>
          <w:rFonts w:asciiTheme="majorHAnsi" w:hAnsiTheme="majorHAnsi" w:cs="LMRoman10-Regular"/>
          <w:color w:val="auto"/>
        </w:rPr>
        <w:t xml:space="preserve">Die hellblaue Farbe ist auf den </w:t>
      </w:r>
      <w:proofErr w:type="spellStart"/>
      <w:r w:rsidR="006E2E50">
        <w:rPr>
          <w:rFonts w:asciiTheme="majorHAnsi" w:hAnsiTheme="majorHAnsi" w:cs="LMRoman10-Regular"/>
          <w:color w:val="auto"/>
        </w:rPr>
        <w:t>Tetra</w:t>
      </w:r>
      <w:r w:rsidR="00570828" w:rsidRPr="00570828">
        <w:rPr>
          <w:rFonts w:asciiTheme="majorHAnsi" w:hAnsiTheme="majorHAnsi" w:cs="LMRoman10-Regular"/>
          <w:color w:val="auto"/>
        </w:rPr>
        <w:t>aqua</w:t>
      </w:r>
      <w:r w:rsidR="00655D37">
        <w:rPr>
          <w:rFonts w:asciiTheme="majorHAnsi" w:hAnsiTheme="majorHAnsi" w:cs="LMRoman10-Regular"/>
          <w:color w:val="auto"/>
        </w:rPr>
        <w:t>kupfer</w:t>
      </w:r>
      <w:r w:rsidR="00570828" w:rsidRPr="00570828">
        <w:rPr>
          <w:rFonts w:asciiTheme="majorHAnsi" w:hAnsiTheme="majorHAnsi" w:cs="LMRoman10-Regular"/>
          <w:color w:val="auto"/>
        </w:rPr>
        <w:t>komplex</w:t>
      </w:r>
      <w:proofErr w:type="spellEnd"/>
      <w:r w:rsidR="00570828" w:rsidRPr="00570828">
        <w:rPr>
          <w:rFonts w:asciiTheme="majorHAnsi" w:hAnsiTheme="majorHAnsi" w:cs="LMRoman10-Regular"/>
          <w:color w:val="auto"/>
        </w:rPr>
        <w:t xml:space="preserve"> zurückzuführen. </w:t>
      </w:r>
      <w:r w:rsidR="006E2E50">
        <w:rPr>
          <w:rFonts w:asciiTheme="majorHAnsi" w:hAnsiTheme="majorHAnsi" w:cs="LMRoman10-Regular"/>
          <w:color w:val="auto"/>
        </w:rPr>
        <w:t xml:space="preserve">Beim Hinzugeben der </w:t>
      </w:r>
      <w:r w:rsidR="00570828" w:rsidRPr="00570828">
        <w:rPr>
          <w:rFonts w:asciiTheme="majorHAnsi" w:hAnsiTheme="majorHAnsi" w:cs="LMRoman10-Regular"/>
          <w:color w:val="auto"/>
        </w:rPr>
        <w:t xml:space="preserve">Ammoniaklösung, findet ein </w:t>
      </w:r>
      <w:proofErr w:type="spellStart"/>
      <w:r w:rsidR="00570828" w:rsidRPr="00570828">
        <w:rPr>
          <w:rFonts w:asciiTheme="majorHAnsi" w:hAnsiTheme="majorHAnsi" w:cs="LMRoman10-Regular"/>
          <w:color w:val="auto"/>
        </w:rPr>
        <w:t>Ligandenaustausch</w:t>
      </w:r>
      <w:proofErr w:type="spellEnd"/>
      <w:r w:rsidR="00570828" w:rsidRPr="00570828">
        <w:rPr>
          <w:rFonts w:asciiTheme="majorHAnsi" w:hAnsiTheme="majorHAnsi" w:cs="LMRoman10-Regular"/>
          <w:color w:val="auto"/>
        </w:rPr>
        <w:t xml:space="preserve"> statt, wobei vier Wasser-Moleküle durch vier Ammoniak-Moleküle</w:t>
      </w:r>
      <w:r w:rsidR="00FE7A25">
        <w:rPr>
          <w:rFonts w:asciiTheme="majorHAnsi" w:hAnsiTheme="majorHAnsi" w:cs="LMRoman10-Regular"/>
          <w:color w:val="auto"/>
        </w:rPr>
        <w:t xml:space="preserve"> schrittweise</w:t>
      </w:r>
      <w:r w:rsidR="00570828" w:rsidRPr="00570828">
        <w:rPr>
          <w:rFonts w:asciiTheme="majorHAnsi" w:hAnsiTheme="majorHAnsi" w:cs="LMRoman10-Regular"/>
          <w:color w:val="auto"/>
        </w:rPr>
        <w:t xml:space="preserve"> ersetzt werden. Es entsteht der sehr stabile </w:t>
      </w:r>
      <w:proofErr w:type="spellStart"/>
      <w:r w:rsidR="00655D37">
        <w:rPr>
          <w:rFonts w:asciiTheme="majorHAnsi" w:hAnsiTheme="majorHAnsi" w:cs="LMRoman10-Regular"/>
          <w:color w:val="auto"/>
        </w:rPr>
        <w:t>Tetraammink</w:t>
      </w:r>
      <w:r w:rsidR="00655D37" w:rsidRPr="00570828">
        <w:rPr>
          <w:rFonts w:asciiTheme="majorHAnsi" w:hAnsiTheme="majorHAnsi" w:cs="LMRoman10-Regular"/>
          <w:color w:val="auto"/>
        </w:rPr>
        <w:t>upfer</w:t>
      </w:r>
      <w:proofErr w:type="spellEnd"/>
      <w:r w:rsidR="00655D37">
        <w:rPr>
          <w:rFonts w:asciiTheme="majorHAnsi" w:hAnsiTheme="majorHAnsi" w:cs="LMRoman10-Regular"/>
          <w:color w:val="auto"/>
        </w:rPr>
        <w:t>-Komplex</w:t>
      </w:r>
      <w:r w:rsidR="00570828" w:rsidRPr="00570828">
        <w:rPr>
          <w:rFonts w:asciiTheme="majorHAnsi" w:hAnsiTheme="majorHAnsi" w:cs="LMRoman10-Regular"/>
          <w:color w:val="auto"/>
        </w:rPr>
        <w:t>:</w:t>
      </w:r>
    </w:p>
    <w:p w:rsidR="00570828" w:rsidRPr="00570828" w:rsidRDefault="0007030B" w:rsidP="00570828">
      <w:pPr>
        <w:autoSpaceDE w:val="0"/>
        <w:autoSpaceDN w:val="0"/>
        <w:adjustRightInd w:val="0"/>
        <w:spacing w:after="0"/>
        <w:rPr>
          <w:rFonts w:asciiTheme="majorHAnsi" w:hAnsiTheme="majorHAnsi" w:cs="LMRoman10-Regular"/>
          <w:color w:val="auto"/>
        </w:rPr>
      </w:pPr>
      <w:r w:rsidRPr="0007030B">
        <w:rPr>
          <w:rFonts w:asciiTheme="majorHAnsi" w:hAnsiTheme="majorHAnsi"/>
          <w:noProof/>
          <w:lang w:eastAsia="de-DE"/>
        </w:rPr>
        <w:pict>
          <v:rect id="_x0000_s1163" style="position:absolute;left:0;text-align:left;margin-left:252.9pt;margin-top:8.3pt;width:73.35pt;height:24.45pt;z-index:251794432" filled="f" fillcolor="#c6d9f1 [671]" strokecolor="#17365d [2415]" strokeweight="1.25pt">
            <v:fill opacity="33423f"/>
          </v:rect>
        </w:pict>
      </w:r>
      <w:r>
        <w:rPr>
          <w:rFonts w:asciiTheme="majorHAnsi" w:hAnsiTheme="majorHAnsi" w:cs="LMRoman10-Regular"/>
          <w:noProof/>
          <w:color w:val="auto"/>
          <w:lang w:eastAsia="de-DE"/>
        </w:rPr>
        <w:pict>
          <v:rect id="_x0000_s1162" style="position:absolute;left:0;text-align:left;margin-left:105.75pt;margin-top:8.3pt;width:73.35pt;height:24.45pt;z-index:251730943" filled="f" fillcolor="#c6d9f1 [671]" strokecolor="#8db3e2 [1311]" strokeweight="1.25pt">
            <v:fill opacity="33423f"/>
          </v:rect>
        </w:pict>
      </w:r>
      <w:r w:rsidR="00570828">
        <w:rPr>
          <w:rFonts w:asciiTheme="majorHAnsi" w:hAnsiTheme="majorHAnsi" w:cs="LMRoman10-Regular"/>
          <w:noProof/>
          <w:color w:val="auto"/>
          <w:lang w:eastAsia="de-DE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1275715</wp:posOffset>
            </wp:positionH>
            <wp:positionV relativeFrom="paragraph">
              <wp:posOffset>49530</wp:posOffset>
            </wp:positionV>
            <wp:extent cx="3586480" cy="396240"/>
            <wp:effectExtent l="19050" t="0" r="0" b="0"/>
            <wp:wrapTight wrapText="bothSides">
              <wp:wrapPolygon edited="0">
                <wp:start x="-115" y="0"/>
                <wp:lineTo x="-115" y="20769"/>
                <wp:lineTo x="21569" y="20769"/>
                <wp:lineTo x="21569" y="0"/>
                <wp:lineTo x="-115" y="0"/>
              </wp:wrapPolygon>
            </wp:wrapTight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828" w:rsidRDefault="00570828" w:rsidP="00570828">
      <w:pPr>
        <w:autoSpaceDE w:val="0"/>
        <w:autoSpaceDN w:val="0"/>
        <w:adjustRightInd w:val="0"/>
        <w:spacing w:after="0"/>
        <w:ind w:left="2124"/>
        <w:rPr>
          <w:rFonts w:asciiTheme="majorHAnsi" w:hAnsiTheme="majorHAnsi" w:cs="LMRoman10-Regular"/>
          <w:color w:val="auto"/>
        </w:rPr>
      </w:pPr>
    </w:p>
    <w:p w:rsidR="00570828" w:rsidRPr="00570828" w:rsidRDefault="00570828" w:rsidP="00570828">
      <w:pPr>
        <w:autoSpaceDE w:val="0"/>
        <w:autoSpaceDN w:val="0"/>
        <w:adjustRightInd w:val="0"/>
        <w:spacing w:after="0"/>
        <w:ind w:left="2124"/>
        <w:rPr>
          <w:rFonts w:asciiTheme="majorHAnsi" w:hAnsiTheme="majorHAnsi" w:cs="LMRoman10-Regular"/>
          <w:color w:val="auto"/>
        </w:rPr>
      </w:pPr>
      <w:r w:rsidRPr="00570828">
        <w:rPr>
          <w:rFonts w:asciiTheme="majorHAnsi" w:hAnsiTheme="majorHAnsi" w:cs="LMRoman10-Regular"/>
          <w:color w:val="auto"/>
        </w:rPr>
        <w:t xml:space="preserve">Durch die Zugabe der Schwefelsäure wird die Konzentration der </w:t>
      </w:r>
      <w:r w:rsidRPr="008E66FC">
        <w:rPr>
          <w:rFonts w:asciiTheme="majorHAnsi" w:hAnsiTheme="majorHAnsi" w:cs="LMMathItalic10-Regular"/>
          <w:iCs/>
          <w:color w:val="auto"/>
        </w:rPr>
        <w:t>H</w:t>
      </w:r>
      <w:r w:rsidRPr="00FE7A25">
        <w:rPr>
          <w:rFonts w:asciiTheme="majorHAnsi" w:hAnsiTheme="majorHAnsi" w:cs="LMRoman8-Regular"/>
          <w:color w:val="auto"/>
          <w:vertAlign w:val="superscript"/>
        </w:rPr>
        <w:t>+</w:t>
      </w:r>
      <w:r w:rsidRPr="00570828">
        <w:rPr>
          <w:rFonts w:asciiTheme="majorHAnsi" w:hAnsiTheme="majorHAnsi" w:cs="LMRoman10-Regular"/>
          <w:color w:val="auto"/>
        </w:rPr>
        <w:t xml:space="preserve">-Ionen erhöht, sodass sich das </w:t>
      </w:r>
      <w:proofErr w:type="spellStart"/>
      <w:r w:rsidRPr="00570828">
        <w:rPr>
          <w:rFonts w:asciiTheme="majorHAnsi" w:hAnsiTheme="majorHAnsi" w:cs="LMRoman10-Regular"/>
          <w:color w:val="auto"/>
        </w:rPr>
        <w:t>Basengleichgewicht</w:t>
      </w:r>
      <w:proofErr w:type="spellEnd"/>
      <w:r w:rsidRPr="00570828">
        <w:rPr>
          <w:rFonts w:asciiTheme="majorHAnsi" w:hAnsiTheme="majorHAnsi" w:cs="LMRoman10-Regular"/>
          <w:color w:val="auto"/>
        </w:rPr>
        <w:t xml:space="preserve"> des Ammoniaks</w:t>
      </w:r>
    </w:p>
    <w:p w:rsidR="00570828" w:rsidRPr="00570828" w:rsidRDefault="00570828" w:rsidP="00570828">
      <w:pPr>
        <w:autoSpaceDE w:val="0"/>
        <w:autoSpaceDN w:val="0"/>
        <w:adjustRightInd w:val="0"/>
        <w:spacing w:after="0"/>
        <w:rPr>
          <w:rFonts w:asciiTheme="majorHAnsi" w:hAnsiTheme="majorHAnsi" w:cs="LMRoman10-Regular"/>
          <w:color w:val="auto"/>
        </w:rPr>
      </w:pPr>
    </w:p>
    <w:p w:rsidR="00570828" w:rsidRPr="00570828" w:rsidRDefault="00570828" w:rsidP="00570828">
      <w:pPr>
        <w:autoSpaceDE w:val="0"/>
        <w:autoSpaceDN w:val="0"/>
        <w:adjustRightInd w:val="0"/>
        <w:spacing w:after="0"/>
        <w:rPr>
          <w:rFonts w:asciiTheme="majorHAnsi" w:hAnsiTheme="majorHAnsi" w:cs="LMRoman10-Regular"/>
          <w:color w:val="auto"/>
        </w:rPr>
      </w:pPr>
      <w:r>
        <w:rPr>
          <w:rFonts w:asciiTheme="majorHAnsi" w:hAnsiTheme="majorHAnsi" w:cs="LMRoman10-Regular"/>
          <w:color w:val="auto"/>
        </w:rPr>
        <w:tab/>
      </w:r>
      <w:r>
        <w:rPr>
          <w:rFonts w:asciiTheme="majorHAnsi" w:hAnsiTheme="majorHAnsi" w:cs="LMRoman10-Regular"/>
          <w:color w:val="auto"/>
        </w:rPr>
        <w:tab/>
      </w:r>
      <w:r>
        <w:rPr>
          <w:rFonts w:asciiTheme="majorHAnsi" w:hAnsiTheme="majorHAnsi" w:cs="LMRoman10-Regular"/>
          <w:color w:val="auto"/>
        </w:rPr>
        <w:tab/>
      </w:r>
      <w:r>
        <w:rPr>
          <w:rFonts w:asciiTheme="majorHAnsi" w:hAnsiTheme="majorHAnsi" w:cs="LMRoman10-Regular"/>
          <w:noProof/>
          <w:color w:val="auto"/>
          <w:lang w:eastAsia="de-DE"/>
        </w:rPr>
        <w:drawing>
          <wp:inline distT="0" distB="0" distL="0" distR="0">
            <wp:extent cx="1809750" cy="385252"/>
            <wp:effectExtent l="19050" t="0" r="0" b="0"/>
            <wp:docPr id="22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323" cy="39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828" w:rsidRPr="00570828" w:rsidRDefault="00570828" w:rsidP="00570828">
      <w:pPr>
        <w:autoSpaceDE w:val="0"/>
        <w:autoSpaceDN w:val="0"/>
        <w:adjustRightInd w:val="0"/>
        <w:spacing w:after="0"/>
        <w:rPr>
          <w:rFonts w:asciiTheme="majorHAnsi" w:hAnsiTheme="majorHAnsi" w:cs="LMRoman10-Regular"/>
          <w:color w:val="auto"/>
        </w:rPr>
      </w:pPr>
    </w:p>
    <w:p w:rsidR="006E32AF" w:rsidRDefault="00570828" w:rsidP="00570828">
      <w:pPr>
        <w:autoSpaceDE w:val="0"/>
        <w:autoSpaceDN w:val="0"/>
        <w:adjustRightInd w:val="0"/>
        <w:spacing w:after="0"/>
        <w:ind w:left="2124"/>
      </w:pPr>
      <w:r w:rsidRPr="00570828">
        <w:rPr>
          <w:rFonts w:asciiTheme="majorHAnsi" w:hAnsiTheme="majorHAnsi" w:cs="LMRoman10-Regular"/>
          <w:color w:val="auto"/>
        </w:rPr>
        <w:t>auf die Seite des Ammonium-Ions verschiebt. Somit wird die Konzentrat</w:t>
      </w:r>
      <w:r w:rsidRPr="00570828">
        <w:rPr>
          <w:rFonts w:asciiTheme="majorHAnsi" w:hAnsiTheme="majorHAnsi" w:cs="LMRoman10-Regular"/>
          <w:color w:val="auto"/>
        </w:rPr>
        <w:t>i</w:t>
      </w:r>
      <w:r w:rsidRPr="00570828">
        <w:rPr>
          <w:rFonts w:asciiTheme="majorHAnsi" w:hAnsiTheme="majorHAnsi" w:cs="LMRoman10-Regular"/>
          <w:color w:val="auto"/>
        </w:rPr>
        <w:t>on des Ammoniaks verringert. Da beide Gleichgewichte miteinander g</w:t>
      </w:r>
      <w:r w:rsidRPr="00570828">
        <w:rPr>
          <w:rFonts w:asciiTheme="majorHAnsi" w:hAnsiTheme="majorHAnsi" w:cs="LMRoman10-Regular"/>
          <w:color w:val="auto"/>
        </w:rPr>
        <w:t>e</w:t>
      </w:r>
      <w:r w:rsidRPr="00570828">
        <w:rPr>
          <w:rFonts w:asciiTheme="majorHAnsi" w:hAnsiTheme="majorHAnsi" w:cs="LMRoman10-Regular"/>
          <w:color w:val="auto"/>
        </w:rPr>
        <w:t>koppelt sind, verschiebt sich durch die Konzentrationsabnahme des A</w:t>
      </w:r>
      <w:r w:rsidRPr="00570828">
        <w:rPr>
          <w:rFonts w:asciiTheme="majorHAnsi" w:hAnsiTheme="majorHAnsi" w:cs="LMRoman10-Regular"/>
          <w:color w:val="auto"/>
        </w:rPr>
        <w:t>m</w:t>
      </w:r>
      <w:r w:rsidRPr="00570828">
        <w:rPr>
          <w:rFonts w:asciiTheme="majorHAnsi" w:hAnsiTheme="majorHAnsi" w:cs="LMRoman10-Regular"/>
          <w:color w:val="auto"/>
        </w:rPr>
        <w:t xml:space="preserve">moniaks das Komplexgleichgewicht auf die </w:t>
      </w:r>
      <w:proofErr w:type="spellStart"/>
      <w:r w:rsidRPr="00570828">
        <w:rPr>
          <w:rFonts w:asciiTheme="majorHAnsi" w:hAnsiTheme="majorHAnsi" w:cs="LMRoman10-Regular"/>
          <w:color w:val="auto"/>
        </w:rPr>
        <w:t>Eduktseite</w:t>
      </w:r>
      <w:proofErr w:type="spellEnd"/>
      <w:r w:rsidRPr="00570828">
        <w:rPr>
          <w:rFonts w:asciiTheme="majorHAnsi" w:hAnsiTheme="majorHAnsi" w:cs="LMRoman10-Regular"/>
          <w:color w:val="auto"/>
        </w:rPr>
        <w:t xml:space="preserve">, sodass sich der blaue </w:t>
      </w:r>
      <w:proofErr w:type="spellStart"/>
      <w:r w:rsidR="00655D37">
        <w:rPr>
          <w:rFonts w:asciiTheme="majorHAnsi" w:hAnsiTheme="majorHAnsi" w:cs="LMRoman10-Regular"/>
          <w:color w:val="auto"/>
        </w:rPr>
        <w:t>Tetraammink</w:t>
      </w:r>
      <w:r w:rsidRPr="00570828">
        <w:rPr>
          <w:rFonts w:asciiTheme="majorHAnsi" w:hAnsiTheme="majorHAnsi" w:cs="LMRoman10-Regular"/>
          <w:color w:val="auto"/>
        </w:rPr>
        <w:t>upfer</w:t>
      </w:r>
      <w:proofErr w:type="spellEnd"/>
      <w:r w:rsidR="00655D37">
        <w:rPr>
          <w:rFonts w:asciiTheme="majorHAnsi" w:hAnsiTheme="majorHAnsi" w:cs="LMRoman10-Regular"/>
          <w:color w:val="auto"/>
        </w:rPr>
        <w:t>-K</w:t>
      </w:r>
      <w:r w:rsidRPr="00570828">
        <w:rPr>
          <w:rFonts w:asciiTheme="majorHAnsi" w:hAnsiTheme="majorHAnsi" w:cs="LMRoman10-Regular"/>
          <w:color w:val="auto"/>
        </w:rPr>
        <w:t>om</w:t>
      </w:r>
      <w:r w:rsidR="00655D37">
        <w:rPr>
          <w:rFonts w:asciiTheme="majorHAnsi" w:hAnsiTheme="majorHAnsi" w:cs="LMRoman10-Regular"/>
          <w:color w:val="auto"/>
        </w:rPr>
        <w:t>p</w:t>
      </w:r>
      <w:r w:rsidRPr="00570828">
        <w:rPr>
          <w:rFonts w:asciiTheme="majorHAnsi" w:hAnsiTheme="majorHAnsi" w:cs="LMRoman10-Regular"/>
          <w:color w:val="auto"/>
        </w:rPr>
        <w:t xml:space="preserve">lex auflöst und sich wieder der </w:t>
      </w:r>
      <w:proofErr w:type="spellStart"/>
      <w:r w:rsidRPr="00570828">
        <w:rPr>
          <w:rFonts w:asciiTheme="majorHAnsi" w:hAnsiTheme="majorHAnsi" w:cs="LMRoman10-Regular"/>
          <w:color w:val="auto"/>
        </w:rPr>
        <w:t>Tetraaqua</w:t>
      </w:r>
      <w:r w:rsidR="00655D37">
        <w:rPr>
          <w:rFonts w:asciiTheme="majorHAnsi" w:hAnsiTheme="majorHAnsi" w:cs="LMRoman10-Regular"/>
          <w:color w:val="auto"/>
        </w:rPr>
        <w:t>kupfer</w:t>
      </w:r>
      <w:proofErr w:type="spellEnd"/>
      <w:r w:rsidR="00655D37">
        <w:rPr>
          <w:rFonts w:asciiTheme="majorHAnsi" w:hAnsiTheme="majorHAnsi" w:cs="LMRoman10-Regular"/>
          <w:color w:val="auto"/>
        </w:rPr>
        <w:t>-K</w:t>
      </w:r>
      <w:r w:rsidRPr="00570828">
        <w:rPr>
          <w:rFonts w:asciiTheme="majorHAnsi" w:hAnsiTheme="majorHAnsi" w:cs="LMRoman10-Regular"/>
          <w:color w:val="auto"/>
        </w:rPr>
        <w:t>omplex bildet.</w:t>
      </w:r>
      <w:r w:rsidR="008E66FC">
        <w:rPr>
          <w:rFonts w:asciiTheme="majorHAnsi" w:hAnsiTheme="majorHAnsi" w:cs="LMRoman10-Regular"/>
          <w:color w:val="auto"/>
        </w:rPr>
        <w:t xml:space="preserve"> Durch erneute Zugabe von Ammoniak (Edukt) verschiebt sich das Gleichgewicht wieder auf die Seite des </w:t>
      </w:r>
      <w:proofErr w:type="spellStart"/>
      <w:r w:rsidR="008E66FC">
        <w:rPr>
          <w:rFonts w:asciiTheme="majorHAnsi" w:hAnsiTheme="majorHAnsi" w:cs="LMRoman10-Regular"/>
          <w:color w:val="auto"/>
        </w:rPr>
        <w:t>Tetraamminkupfer</w:t>
      </w:r>
      <w:proofErr w:type="spellEnd"/>
      <w:r w:rsidR="00655D37">
        <w:rPr>
          <w:rFonts w:asciiTheme="majorHAnsi" w:hAnsiTheme="majorHAnsi" w:cs="LMRoman10-Regular"/>
          <w:color w:val="auto"/>
        </w:rPr>
        <w:t>-K</w:t>
      </w:r>
      <w:r w:rsidR="008E66FC">
        <w:rPr>
          <w:rFonts w:asciiTheme="majorHAnsi" w:hAnsiTheme="majorHAnsi" w:cs="LMRoman10-Regular"/>
          <w:color w:val="auto"/>
        </w:rPr>
        <w:t>omplexes.</w:t>
      </w:r>
      <w:r w:rsidR="00074A34">
        <w:tab/>
      </w:r>
      <w:r w:rsidR="00074A34">
        <w:tab/>
      </w:r>
    </w:p>
    <w:p w:rsidR="00570828" w:rsidRDefault="00570828" w:rsidP="00570828">
      <w:pPr>
        <w:autoSpaceDE w:val="0"/>
        <w:autoSpaceDN w:val="0"/>
        <w:adjustRightInd w:val="0"/>
        <w:spacing w:after="0"/>
        <w:ind w:left="2124"/>
        <w:jc w:val="left"/>
        <w:rPr>
          <w:rFonts w:eastAsiaTheme="minorEastAsia"/>
        </w:rPr>
      </w:pPr>
    </w:p>
    <w:p w:rsidR="00216E3C" w:rsidRDefault="00216E3C" w:rsidP="005B60E3">
      <w:pPr>
        <w:spacing w:line="276" w:lineRule="auto"/>
        <w:jc w:val="left"/>
      </w:pPr>
      <w:r>
        <w:t>Entsorgung:</w:t>
      </w:r>
      <w:r>
        <w:tab/>
        <w:t xml:space="preserve">           </w:t>
      </w:r>
      <w:r w:rsidR="00125CEA">
        <w:tab/>
      </w:r>
      <w:r w:rsidR="00AF412B">
        <w:t>Die Lösung</w:t>
      </w:r>
      <w:r w:rsidR="00570828">
        <w:t>en</w:t>
      </w:r>
      <w:r w:rsidR="00AF412B">
        <w:t xml:space="preserve"> k</w:t>
      </w:r>
      <w:r w:rsidR="00570828">
        <w:t>önnen</w:t>
      </w:r>
      <w:r w:rsidR="00AF412B">
        <w:t xml:space="preserve"> im Abfluss </w:t>
      </w:r>
      <w:r>
        <w:t xml:space="preserve"> </w:t>
      </w:r>
      <w:r w:rsidR="00AF412B">
        <w:t>entsorgt werden.</w:t>
      </w:r>
    </w:p>
    <w:p w:rsidR="00C75630" w:rsidRDefault="00F17765" w:rsidP="00C75630">
      <w:pPr>
        <w:tabs>
          <w:tab w:val="left" w:pos="1701"/>
          <w:tab w:val="left" w:pos="1985"/>
        </w:tabs>
        <w:ind w:left="1985" w:hanging="1985"/>
        <w:rPr>
          <w:color w:val="auto"/>
        </w:rPr>
      </w:pPr>
      <w:r>
        <w:t>Literatur:</w:t>
      </w:r>
      <w:r>
        <w:tab/>
      </w:r>
      <w:r>
        <w:tab/>
      </w:r>
      <w:r w:rsidR="00E64751">
        <w:tab/>
      </w:r>
      <w:r w:rsidR="00E64751">
        <w:rPr>
          <w:color w:val="auto"/>
        </w:rPr>
        <w:t>Nach:</w:t>
      </w:r>
    </w:p>
    <w:p w:rsidR="00131BDB" w:rsidRDefault="00031F1B" w:rsidP="00620A06">
      <w:pPr>
        <w:tabs>
          <w:tab w:val="left" w:pos="1701"/>
          <w:tab w:val="left" w:pos="1985"/>
        </w:tabs>
        <w:ind w:left="2124" w:hanging="1985"/>
        <w:rPr>
          <w:color w:val="auto"/>
        </w:rPr>
      </w:pPr>
      <w:r>
        <w:lastRenderedPageBreak/>
        <w:tab/>
      </w:r>
      <w:r>
        <w:tab/>
      </w:r>
      <w:r w:rsidR="00620A06">
        <w:tab/>
      </w:r>
      <w:r>
        <w:t>D. Wiechoczek, </w:t>
      </w:r>
      <w:r w:rsidR="00620A06" w:rsidRPr="00620A06">
        <w:t>http://www.chemieunterricht.de/dc2/komplexe/aust-</w:t>
      </w:r>
      <w:r w:rsidR="00131BDB" w:rsidRPr="00131BDB">
        <w:t>gg.html</w:t>
      </w:r>
      <w:r w:rsidR="00131BDB">
        <w:t xml:space="preserve">, </w:t>
      </w:r>
      <w:r w:rsidR="00C75630">
        <w:t>06</w:t>
      </w:r>
      <w:r w:rsidR="00131BDB">
        <w:rPr>
          <w:color w:val="auto"/>
        </w:rPr>
        <w:t>.</w:t>
      </w:r>
      <w:r w:rsidR="00C75630">
        <w:rPr>
          <w:color w:val="auto"/>
        </w:rPr>
        <w:t>04</w:t>
      </w:r>
      <w:r w:rsidR="00131BDB">
        <w:rPr>
          <w:color w:val="auto"/>
        </w:rPr>
        <w:t>.20</w:t>
      </w:r>
      <w:r w:rsidR="00C75630">
        <w:rPr>
          <w:color w:val="auto"/>
        </w:rPr>
        <w:t>10</w:t>
      </w:r>
      <w:r w:rsidR="00131BDB">
        <w:rPr>
          <w:color w:val="auto"/>
        </w:rPr>
        <w:t xml:space="preserve"> (Zuletzt abgerufen am 12.08.2015 um </w:t>
      </w:r>
      <w:r w:rsidR="00C75630">
        <w:rPr>
          <w:color w:val="auto"/>
        </w:rPr>
        <w:t>12:4</w:t>
      </w:r>
      <w:r w:rsidR="00131BDB">
        <w:rPr>
          <w:color w:val="auto"/>
        </w:rPr>
        <w:t>0Uhr).</w:t>
      </w:r>
    </w:p>
    <w:p w:rsidR="006E32AF" w:rsidRPr="006E32AF" w:rsidRDefault="0007030B" w:rsidP="006E32A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07030B">
        <w:pict>
          <v:shape id="_x0000_s1166" type="#_x0000_t202" style="width:462.45pt;height:40.7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66">
              <w:txbxContent>
                <w:p w:rsidR="00AC4666" w:rsidRPr="006E2E50" w:rsidRDefault="00AC4666" w:rsidP="000D10FB">
                  <w:pPr>
                    <w:rPr>
                      <w:color w:val="auto"/>
                    </w:rPr>
                  </w:pPr>
                  <w:r w:rsidRPr="006E2E50">
                    <w:rPr>
                      <w:color w:val="auto"/>
                    </w:rPr>
                    <w:t>Der Versuch sollte wegen des konzentrierten Ammoniaks im Abzug durchgeführt werden.</w:t>
                  </w:r>
                </w:p>
              </w:txbxContent>
            </v:textbox>
            <w10:wrap type="none"/>
            <w10:anchorlock/>
          </v:shape>
        </w:pict>
      </w:r>
    </w:p>
    <w:p w:rsidR="00AC4666" w:rsidRPr="00AC4666" w:rsidRDefault="00AC4666" w:rsidP="00AC4666">
      <w:pPr>
        <w:pStyle w:val="StandardWeb"/>
        <w:spacing w:line="360" w:lineRule="auto"/>
        <w:ind w:left="1410"/>
        <w:jc w:val="both"/>
        <w:rPr>
          <w:rFonts w:asciiTheme="majorHAnsi" w:hAnsiTheme="majorHAnsi"/>
          <w:sz w:val="20"/>
          <w:szCs w:val="22"/>
        </w:rPr>
      </w:pPr>
    </w:p>
    <w:sectPr w:rsidR="00AC4666" w:rsidRPr="00AC4666" w:rsidSect="00A0582F">
      <w:pgSz w:w="11906" w:h="16838"/>
      <w:pgMar w:top="1417" w:right="1417" w:bottom="709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F8" w:rsidRDefault="00BC7FF8" w:rsidP="0086227B">
      <w:pPr>
        <w:spacing w:after="0" w:line="240" w:lineRule="auto"/>
      </w:pPr>
      <w:r>
        <w:separator/>
      </w:r>
    </w:p>
  </w:endnote>
  <w:endnote w:type="continuationSeparator" w:id="0">
    <w:p w:rsidR="00BC7FF8" w:rsidRDefault="00BC7FF8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Roman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MathItalic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8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F8" w:rsidRDefault="00BC7FF8" w:rsidP="0086227B">
      <w:pPr>
        <w:spacing w:after="0" w:line="240" w:lineRule="auto"/>
      </w:pPr>
      <w:r>
        <w:separator/>
      </w:r>
    </w:p>
  </w:footnote>
  <w:footnote w:type="continuationSeparator" w:id="0">
    <w:p w:rsidR="00BC7FF8" w:rsidRDefault="00BC7FF8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5DD3"/>
    <w:multiLevelType w:val="hybridMultilevel"/>
    <w:tmpl w:val="94A02BB4"/>
    <w:lvl w:ilvl="0" w:tplc="299CD19A">
      <w:start w:val="1"/>
      <w:numFmt w:val="upperLetter"/>
      <w:lvlText w:val="%1."/>
      <w:lvlJc w:val="left"/>
      <w:pPr>
        <w:ind w:left="233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3056" w:hanging="360"/>
      </w:pPr>
    </w:lvl>
    <w:lvl w:ilvl="2" w:tplc="0407001B" w:tentative="1">
      <w:start w:val="1"/>
      <w:numFmt w:val="lowerRoman"/>
      <w:lvlText w:val="%3."/>
      <w:lvlJc w:val="right"/>
      <w:pPr>
        <w:ind w:left="3776" w:hanging="180"/>
      </w:pPr>
    </w:lvl>
    <w:lvl w:ilvl="3" w:tplc="0407000F" w:tentative="1">
      <w:start w:val="1"/>
      <w:numFmt w:val="decimal"/>
      <w:lvlText w:val="%4."/>
      <w:lvlJc w:val="left"/>
      <w:pPr>
        <w:ind w:left="4496" w:hanging="360"/>
      </w:pPr>
    </w:lvl>
    <w:lvl w:ilvl="4" w:tplc="04070019" w:tentative="1">
      <w:start w:val="1"/>
      <w:numFmt w:val="lowerLetter"/>
      <w:lvlText w:val="%5."/>
      <w:lvlJc w:val="left"/>
      <w:pPr>
        <w:ind w:left="5216" w:hanging="360"/>
      </w:pPr>
    </w:lvl>
    <w:lvl w:ilvl="5" w:tplc="0407001B" w:tentative="1">
      <w:start w:val="1"/>
      <w:numFmt w:val="lowerRoman"/>
      <w:lvlText w:val="%6."/>
      <w:lvlJc w:val="right"/>
      <w:pPr>
        <w:ind w:left="5936" w:hanging="180"/>
      </w:pPr>
    </w:lvl>
    <w:lvl w:ilvl="6" w:tplc="0407000F" w:tentative="1">
      <w:start w:val="1"/>
      <w:numFmt w:val="decimal"/>
      <w:lvlText w:val="%7."/>
      <w:lvlJc w:val="left"/>
      <w:pPr>
        <w:ind w:left="6656" w:hanging="360"/>
      </w:pPr>
    </w:lvl>
    <w:lvl w:ilvl="7" w:tplc="04070019" w:tentative="1">
      <w:start w:val="1"/>
      <w:numFmt w:val="lowerLetter"/>
      <w:lvlText w:val="%8."/>
      <w:lvlJc w:val="left"/>
      <w:pPr>
        <w:ind w:left="7376" w:hanging="360"/>
      </w:pPr>
    </w:lvl>
    <w:lvl w:ilvl="8" w:tplc="0407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4">
    <w:nsid w:val="1C505AE9"/>
    <w:multiLevelType w:val="hybridMultilevel"/>
    <w:tmpl w:val="5FAA51EE"/>
    <w:lvl w:ilvl="0" w:tplc="D30032F6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D455E"/>
    <w:multiLevelType w:val="hybridMultilevel"/>
    <w:tmpl w:val="7D4EC138"/>
    <w:lvl w:ilvl="0" w:tplc="8FA0752C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55" w:hanging="360"/>
      </w:pPr>
    </w:lvl>
    <w:lvl w:ilvl="2" w:tplc="0407001B" w:tentative="1">
      <w:start w:val="1"/>
      <w:numFmt w:val="lowerRoman"/>
      <w:lvlText w:val="%3."/>
      <w:lvlJc w:val="right"/>
      <w:pPr>
        <w:ind w:left="3975" w:hanging="180"/>
      </w:pPr>
    </w:lvl>
    <w:lvl w:ilvl="3" w:tplc="0407000F" w:tentative="1">
      <w:start w:val="1"/>
      <w:numFmt w:val="decimal"/>
      <w:lvlText w:val="%4."/>
      <w:lvlJc w:val="left"/>
      <w:pPr>
        <w:ind w:left="4695" w:hanging="360"/>
      </w:pPr>
    </w:lvl>
    <w:lvl w:ilvl="4" w:tplc="04070019" w:tentative="1">
      <w:start w:val="1"/>
      <w:numFmt w:val="lowerLetter"/>
      <w:lvlText w:val="%5."/>
      <w:lvlJc w:val="left"/>
      <w:pPr>
        <w:ind w:left="5415" w:hanging="360"/>
      </w:pPr>
    </w:lvl>
    <w:lvl w:ilvl="5" w:tplc="0407001B" w:tentative="1">
      <w:start w:val="1"/>
      <w:numFmt w:val="lowerRoman"/>
      <w:lvlText w:val="%6."/>
      <w:lvlJc w:val="right"/>
      <w:pPr>
        <w:ind w:left="6135" w:hanging="180"/>
      </w:pPr>
    </w:lvl>
    <w:lvl w:ilvl="6" w:tplc="0407000F" w:tentative="1">
      <w:start w:val="1"/>
      <w:numFmt w:val="decimal"/>
      <w:lvlText w:val="%7."/>
      <w:lvlJc w:val="left"/>
      <w:pPr>
        <w:ind w:left="6855" w:hanging="360"/>
      </w:pPr>
    </w:lvl>
    <w:lvl w:ilvl="7" w:tplc="04070019" w:tentative="1">
      <w:start w:val="1"/>
      <w:numFmt w:val="lowerLetter"/>
      <w:lvlText w:val="%8."/>
      <w:lvlJc w:val="left"/>
      <w:pPr>
        <w:ind w:left="7575" w:hanging="360"/>
      </w:pPr>
    </w:lvl>
    <w:lvl w:ilvl="8" w:tplc="0407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208966E0"/>
    <w:multiLevelType w:val="multilevel"/>
    <w:tmpl w:val="C17A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C40D8"/>
    <w:multiLevelType w:val="hybridMultilevel"/>
    <w:tmpl w:val="75526D82"/>
    <w:lvl w:ilvl="0" w:tplc="3E4078D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37056840"/>
    <w:multiLevelType w:val="hybridMultilevel"/>
    <w:tmpl w:val="42D40C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14788"/>
    <w:multiLevelType w:val="hybridMultilevel"/>
    <w:tmpl w:val="3D569572"/>
    <w:lvl w:ilvl="0" w:tplc="54A805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91100"/>
    <w:multiLevelType w:val="hybridMultilevel"/>
    <w:tmpl w:val="7902DA52"/>
    <w:lvl w:ilvl="0" w:tplc="5588B104">
      <w:start w:val="19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67EA3CE0"/>
    <w:multiLevelType w:val="hybridMultilevel"/>
    <w:tmpl w:val="A28E8CDA"/>
    <w:lvl w:ilvl="0" w:tplc="03460F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758DD"/>
    <w:multiLevelType w:val="hybridMultilevel"/>
    <w:tmpl w:val="036205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184451"/>
    <w:multiLevelType w:val="hybridMultilevel"/>
    <w:tmpl w:val="B902F642"/>
    <w:lvl w:ilvl="0" w:tplc="0E5890C8">
      <w:start w:val="19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1"/>
  </w:num>
  <w:num w:numId="12">
    <w:abstractNumId w:val="1"/>
  </w:num>
  <w:num w:numId="13">
    <w:abstractNumId w:val="13"/>
  </w:num>
  <w:num w:numId="14">
    <w:abstractNumId w:val="12"/>
  </w:num>
  <w:num w:numId="15">
    <w:abstractNumId w:val="18"/>
  </w:num>
  <w:num w:numId="16">
    <w:abstractNumId w:val="2"/>
  </w:num>
  <w:num w:numId="17">
    <w:abstractNumId w:val="20"/>
  </w:num>
  <w:num w:numId="18">
    <w:abstractNumId w:val="5"/>
  </w:num>
  <w:num w:numId="19">
    <w:abstractNumId w:val="0"/>
  </w:num>
  <w:num w:numId="20">
    <w:abstractNumId w:val="9"/>
  </w:num>
  <w:num w:numId="21">
    <w:abstractNumId w:val="7"/>
  </w:num>
  <w:num w:numId="22">
    <w:abstractNumId w:val="19"/>
  </w:num>
  <w:num w:numId="23">
    <w:abstractNumId w:val="3"/>
  </w:num>
  <w:num w:numId="24">
    <w:abstractNumId w:val="6"/>
  </w:num>
  <w:num w:numId="25">
    <w:abstractNumId w:val="4"/>
  </w:num>
  <w:num w:numId="26">
    <w:abstractNumId w:val="15"/>
  </w:num>
  <w:num w:numId="27">
    <w:abstractNumId w:val="21"/>
  </w:num>
  <w:num w:numId="28">
    <w:abstractNumId w:val="14"/>
  </w:num>
  <w:num w:numId="29">
    <w:abstractNumId w:val="10"/>
  </w:num>
  <w:num w:numId="30">
    <w:abstractNumId w:val="17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0710"/>
    <w:rsid w:val="000011E9"/>
    <w:rsid w:val="00007E3F"/>
    <w:rsid w:val="00011800"/>
    <w:rsid w:val="000137A3"/>
    <w:rsid w:val="00014E7D"/>
    <w:rsid w:val="00022871"/>
    <w:rsid w:val="00031F1B"/>
    <w:rsid w:val="00037700"/>
    <w:rsid w:val="00041562"/>
    <w:rsid w:val="00056798"/>
    <w:rsid w:val="0006287D"/>
    <w:rsid w:val="0006684E"/>
    <w:rsid w:val="00066DE1"/>
    <w:rsid w:val="00067AEC"/>
    <w:rsid w:val="0007030B"/>
    <w:rsid w:val="00072812"/>
    <w:rsid w:val="00074A34"/>
    <w:rsid w:val="000771F8"/>
    <w:rsid w:val="0007729E"/>
    <w:rsid w:val="000972FF"/>
    <w:rsid w:val="0009776D"/>
    <w:rsid w:val="000B20DD"/>
    <w:rsid w:val="000C1255"/>
    <w:rsid w:val="000C2C4E"/>
    <w:rsid w:val="000C4EB4"/>
    <w:rsid w:val="000C6891"/>
    <w:rsid w:val="000D10FB"/>
    <w:rsid w:val="000D156E"/>
    <w:rsid w:val="000D2C37"/>
    <w:rsid w:val="000D7381"/>
    <w:rsid w:val="000E0EBE"/>
    <w:rsid w:val="000E21A7"/>
    <w:rsid w:val="000E6B41"/>
    <w:rsid w:val="000E7DB1"/>
    <w:rsid w:val="000F5EEC"/>
    <w:rsid w:val="00100266"/>
    <w:rsid w:val="001022B4"/>
    <w:rsid w:val="00111D8B"/>
    <w:rsid w:val="0012481E"/>
    <w:rsid w:val="00125CEA"/>
    <w:rsid w:val="00131BDB"/>
    <w:rsid w:val="00134179"/>
    <w:rsid w:val="00134942"/>
    <w:rsid w:val="0013621E"/>
    <w:rsid w:val="00153EA8"/>
    <w:rsid w:val="00157F3D"/>
    <w:rsid w:val="00161D30"/>
    <w:rsid w:val="00173863"/>
    <w:rsid w:val="001A7524"/>
    <w:rsid w:val="001B46E0"/>
    <w:rsid w:val="001C5EFC"/>
    <w:rsid w:val="001D182C"/>
    <w:rsid w:val="001D7245"/>
    <w:rsid w:val="001E01DD"/>
    <w:rsid w:val="00201F6F"/>
    <w:rsid w:val="00206D6B"/>
    <w:rsid w:val="00216E3C"/>
    <w:rsid w:val="00222067"/>
    <w:rsid w:val="00224F8D"/>
    <w:rsid w:val="0023241F"/>
    <w:rsid w:val="002347FE"/>
    <w:rsid w:val="002375EF"/>
    <w:rsid w:val="00254174"/>
    <w:rsid w:val="00254F3F"/>
    <w:rsid w:val="00270289"/>
    <w:rsid w:val="0028080E"/>
    <w:rsid w:val="0028646F"/>
    <w:rsid w:val="002944CF"/>
    <w:rsid w:val="002A51A8"/>
    <w:rsid w:val="002A6D04"/>
    <w:rsid w:val="002A716F"/>
    <w:rsid w:val="002A7855"/>
    <w:rsid w:val="002B0B14"/>
    <w:rsid w:val="002B1870"/>
    <w:rsid w:val="002B2C15"/>
    <w:rsid w:val="002D12A3"/>
    <w:rsid w:val="002E0F34"/>
    <w:rsid w:val="002E2DD3"/>
    <w:rsid w:val="002E38A0"/>
    <w:rsid w:val="002E5FCC"/>
    <w:rsid w:val="002F23A4"/>
    <w:rsid w:val="002F25D2"/>
    <w:rsid w:val="002F38EE"/>
    <w:rsid w:val="0032502D"/>
    <w:rsid w:val="0033677B"/>
    <w:rsid w:val="00336B3B"/>
    <w:rsid w:val="00337B69"/>
    <w:rsid w:val="00344BB7"/>
    <w:rsid w:val="00345293"/>
    <w:rsid w:val="00345F54"/>
    <w:rsid w:val="003667CF"/>
    <w:rsid w:val="0038284A"/>
    <w:rsid w:val="003837C2"/>
    <w:rsid w:val="00384682"/>
    <w:rsid w:val="003B49C6"/>
    <w:rsid w:val="003C5747"/>
    <w:rsid w:val="003D529E"/>
    <w:rsid w:val="003D6040"/>
    <w:rsid w:val="003E30B5"/>
    <w:rsid w:val="003E558E"/>
    <w:rsid w:val="003E69AB"/>
    <w:rsid w:val="003F6C7A"/>
    <w:rsid w:val="00401750"/>
    <w:rsid w:val="004020F6"/>
    <w:rsid w:val="004102B8"/>
    <w:rsid w:val="0041565C"/>
    <w:rsid w:val="00421468"/>
    <w:rsid w:val="00434D4E"/>
    <w:rsid w:val="00434F30"/>
    <w:rsid w:val="004372BE"/>
    <w:rsid w:val="00442EB1"/>
    <w:rsid w:val="0045030A"/>
    <w:rsid w:val="00464105"/>
    <w:rsid w:val="00486C9F"/>
    <w:rsid w:val="0049087A"/>
    <w:rsid w:val="004944F3"/>
    <w:rsid w:val="00496239"/>
    <w:rsid w:val="004A1D2E"/>
    <w:rsid w:val="004A5530"/>
    <w:rsid w:val="004B200E"/>
    <w:rsid w:val="004B3E0E"/>
    <w:rsid w:val="004C64A6"/>
    <w:rsid w:val="004D00B1"/>
    <w:rsid w:val="004D2994"/>
    <w:rsid w:val="004D4127"/>
    <w:rsid w:val="004F1A17"/>
    <w:rsid w:val="00503C6A"/>
    <w:rsid w:val="00507353"/>
    <w:rsid w:val="005115B1"/>
    <w:rsid w:val="00511B2E"/>
    <w:rsid w:val="005131C3"/>
    <w:rsid w:val="005228A9"/>
    <w:rsid w:val="005240FE"/>
    <w:rsid w:val="00526F69"/>
    <w:rsid w:val="00530A18"/>
    <w:rsid w:val="00532CD5"/>
    <w:rsid w:val="00540A13"/>
    <w:rsid w:val="00544922"/>
    <w:rsid w:val="00547C72"/>
    <w:rsid w:val="0056353E"/>
    <w:rsid w:val="005650D4"/>
    <w:rsid w:val="005669B2"/>
    <w:rsid w:val="00570828"/>
    <w:rsid w:val="005723EA"/>
    <w:rsid w:val="00573704"/>
    <w:rsid w:val="00574063"/>
    <w:rsid w:val="005745F8"/>
    <w:rsid w:val="0057596C"/>
    <w:rsid w:val="00587E63"/>
    <w:rsid w:val="00591B02"/>
    <w:rsid w:val="00595177"/>
    <w:rsid w:val="005978FA"/>
    <w:rsid w:val="005A2E89"/>
    <w:rsid w:val="005B1076"/>
    <w:rsid w:val="005B1F71"/>
    <w:rsid w:val="005B23FC"/>
    <w:rsid w:val="005B60E3"/>
    <w:rsid w:val="005B7B28"/>
    <w:rsid w:val="005E1939"/>
    <w:rsid w:val="005E3970"/>
    <w:rsid w:val="005F2176"/>
    <w:rsid w:val="00601BB6"/>
    <w:rsid w:val="00612199"/>
    <w:rsid w:val="00620A06"/>
    <w:rsid w:val="00625D93"/>
    <w:rsid w:val="00626874"/>
    <w:rsid w:val="00630E44"/>
    <w:rsid w:val="00631F0F"/>
    <w:rsid w:val="00636D75"/>
    <w:rsid w:val="00637239"/>
    <w:rsid w:val="00654117"/>
    <w:rsid w:val="00655D37"/>
    <w:rsid w:val="00666841"/>
    <w:rsid w:val="00672281"/>
    <w:rsid w:val="00677476"/>
    <w:rsid w:val="00681739"/>
    <w:rsid w:val="00690534"/>
    <w:rsid w:val="006943C9"/>
    <w:rsid w:val="006968E6"/>
    <w:rsid w:val="006A0B56"/>
    <w:rsid w:val="006A0F35"/>
    <w:rsid w:val="006B3EC2"/>
    <w:rsid w:val="006B3F84"/>
    <w:rsid w:val="006C3FCB"/>
    <w:rsid w:val="006C5B0D"/>
    <w:rsid w:val="006C7B24"/>
    <w:rsid w:val="006E2E50"/>
    <w:rsid w:val="006E32AF"/>
    <w:rsid w:val="006E451C"/>
    <w:rsid w:val="006F4715"/>
    <w:rsid w:val="00707392"/>
    <w:rsid w:val="0072123D"/>
    <w:rsid w:val="0073203C"/>
    <w:rsid w:val="00733572"/>
    <w:rsid w:val="00740B4B"/>
    <w:rsid w:val="00746773"/>
    <w:rsid w:val="0075028A"/>
    <w:rsid w:val="0077541D"/>
    <w:rsid w:val="00775EEC"/>
    <w:rsid w:val="0078071E"/>
    <w:rsid w:val="007809BE"/>
    <w:rsid w:val="00780AD3"/>
    <w:rsid w:val="00784804"/>
    <w:rsid w:val="00784BB3"/>
    <w:rsid w:val="00790D3B"/>
    <w:rsid w:val="0079575E"/>
    <w:rsid w:val="007A7FA8"/>
    <w:rsid w:val="007E586C"/>
    <w:rsid w:val="007E7412"/>
    <w:rsid w:val="007F2348"/>
    <w:rsid w:val="007F3024"/>
    <w:rsid w:val="007F4523"/>
    <w:rsid w:val="00801678"/>
    <w:rsid w:val="00803212"/>
    <w:rsid w:val="008042F5"/>
    <w:rsid w:val="0080499C"/>
    <w:rsid w:val="00815FB9"/>
    <w:rsid w:val="0082230A"/>
    <w:rsid w:val="0082249F"/>
    <w:rsid w:val="008259AE"/>
    <w:rsid w:val="00837114"/>
    <w:rsid w:val="0086227B"/>
    <w:rsid w:val="008664DF"/>
    <w:rsid w:val="00875E5B"/>
    <w:rsid w:val="0088451A"/>
    <w:rsid w:val="00896D5A"/>
    <w:rsid w:val="008A2821"/>
    <w:rsid w:val="008A4DC7"/>
    <w:rsid w:val="008A5D98"/>
    <w:rsid w:val="008B5C95"/>
    <w:rsid w:val="008B7FD6"/>
    <w:rsid w:val="008C16FC"/>
    <w:rsid w:val="008C71EE"/>
    <w:rsid w:val="008D0ED6"/>
    <w:rsid w:val="008D67B2"/>
    <w:rsid w:val="008E12F8"/>
    <w:rsid w:val="008E1A25"/>
    <w:rsid w:val="008E345D"/>
    <w:rsid w:val="008E66FC"/>
    <w:rsid w:val="008F4F38"/>
    <w:rsid w:val="00905459"/>
    <w:rsid w:val="00913D97"/>
    <w:rsid w:val="00936F75"/>
    <w:rsid w:val="0094350A"/>
    <w:rsid w:val="00946F4E"/>
    <w:rsid w:val="00954DC8"/>
    <w:rsid w:val="00961647"/>
    <w:rsid w:val="00964A9A"/>
    <w:rsid w:val="00966F64"/>
    <w:rsid w:val="00971E91"/>
    <w:rsid w:val="009735A3"/>
    <w:rsid w:val="00973F3F"/>
    <w:rsid w:val="009775D7"/>
    <w:rsid w:val="00977ED8"/>
    <w:rsid w:val="0098168E"/>
    <w:rsid w:val="009922F5"/>
    <w:rsid w:val="00993407"/>
    <w:rsid w:val="00994634"/>
    <w:rsid w:val="009A4140"/>
    <w:rsid w:val="009B0D3F"/>
    <w:rsid w:val="009C6ADD"/>
    <w:rsid w:val="009C6F21"/>
    <w:rsid w:val="009C7687"/>
    <w:rsid w:val="009D150C"/>
    <w:rsid w:val="009D4BD9"/>
    <w:rsid w:val="009F0667"/>
    <w:rsid w:val="009F0CE9"/>
    <w:rsid w:val="009F39B9"/>
    <w:rsid w:val="009F5A39"/>
    <w:rsid w:val="009F61D4"/>
    <w:rsid w:val="00A006C3"/>
    <w:rsid w:val="00A012CE"/>
    <w:rsid w:val="00A0582F"/>
    <w:rsid w:val="00A05C2F"/>
    <w:rsid w:val="00A11E37"/>
    <w:rsid w:val="00A2136F"/>
    <w:rsid w:val="00A2301A"/>
    <w:rsid w:val="00A57A13"/>
    <w:rsid w:val="00A61671"/>
    <w:rsid w:val="00A669BF"/>
    <w:rsid w:val="00A7439F"/>
    <w:rsid w:val="00A75F0A"/>
    <w:rsid w:val="00A778C9"/>
    <w:rsid w:val="00A90BD6"/>
    <w:rsid w:val="00A9233D"/>
    <w:rsid w:val="00A96F52"/>
    <w:rsid w:val="00AA604B"/>
    <w:rsid w:val="00AA612B"/>
    <w:rsid w:val="00AC2158"/>
    <w:rsid w:val="00AC2713"/>
    <w:rsid w:val="00AC4666"/>
    <w:rsid w:val="00AD0C24"/>
    <w:rsid w:val="00AD35FA"/>
    <w:rsid w:val="00AD4559"/>
    <w:rsid w:val="00AD607C"/>
    <w:rsid w:val="00AD7D1F"/>
    <w:rsid w:val="00AE1230"/>
    <w:rsid w:val="00AE3AD7"/>
    <w:rsid w:val="00AF412B"/>
    <w:rsid w:val="00B02829"/>
    <w:rsid w:val="00B15242"/>
    <w:rsid w:val="00B21835"/>
    <w:rsid w:val="00B21F20"/>
    <w:rsid w:val="00B34D72"/>
    <w:rsid w:val="00B433C0"/>
    <w:rsid w:val="00B51643"/>
    <w:rsid w:val="00B51B39"/>
    <w:rsid w:val="00B540FB"/>
    <w:rsid w:val="00B571E6"/>
    <w:rsid w:val="00B61099"/>
    <w:rsid w:val="00B619BB"/>
    <w:rsid w:val="00B61C63"/>
    <w:rsid w:val="00B84E24"/>
    <w:rsid w:val="00B87B76"/>
    <w:rsid w:val="00B901F6"/>
    <w:rsid w:val="00B906C4"/>
    <w:rsid w:val="00B93BBF"/>
    <w:rsid w:val="00B96C3C"/>
    <w:rsid w:val="00BA0E9B"/>
    <w:rsid w:val="00BA6C20"/>
    <w:rsid w:val="00BC1AB0"/>
    <w:rsid w:val="00BC4F56"/>
    <w:rsid w:val="00BC7FF8"/>
    <w:rsid w:val="00BD1D31"/>
    <w:rsid w:val="00BF2E3A"/>
    <w:rsid w:val="00BF7B08"/>
    <w:rsid w:val="00C0569E"/>
    <w:rsid w:val="00C10E22"/>
    <w:rsid w:val="00C11ECE"/>
    <w:rsid w:val="00C12650"/>
    <w:rsid w:val="00C22CD7"/>
    <w:rsid w:val="00C23319"/>
    <w:rsid w:val="00C24FD3"/>
    <w:rsid w:val="00C364B2"/>
    <w:rsid w:val="00C428C7"/>
    <w:rsid w:val="00C460EB"/>
    <w:rsid w:val="00C51D56"/>
    <w:rsid w:val="00C52343"/>
    <w:rsid w:val="00C66D91"/>
    <w:rsid w:val="00C75630"/>
    <w:rsid w:val="00CA6231"/>
    <w:rsid w:val="00CB2161"/>
    <w:rsid w:val="00CB62A5"/>
    <w:rsid w:val="00CD047F"/>
    <w:rsid w:val="00CD3095"/>
    <w:rsid w:val="00CD714F"/>
    <w:rsid w:val="00CE1F14"/>
    <w:rsid w:val="00CE736A"/>
    <w:rsid w:val="00CF0B61"/>
    <w:rsid w:val="00CF79FE"/>
    <w:rsid w:val="00D0644B"/>
    <w:rsid w:val="00D069A2"/>
    <w:rsid w:val="00D1194E"/>
    <w:rsid w:val="00D215F8"/>
    <w:rsid w:val="00D32FF9"/>
    <w:rsid w:val="00D407E8"/>
    <w:rsid w:val="00D54590"/>
    <w:rsid w:val="00D55152"/>
    <w:rsid w:val="00D60010"/>
    <w:rsid w:val="00D76EE6"/>
    <w:rsid w:val="00D76F6F"/>
    <w:rsid w:val="00D90B91"/>
    <w:rsid w:val="00D90F31"/>
    <w:rsid w:val="00D91614"/>
    <w:rsid w:val="00D92822"/>
    <w:rsid w:val="00D969A9"/>
    <w:rsid w:val="00DA6545"/>
    <w:rsid w:val="00DC0309"/>
    <w:rsid w:val="00DD712D"/>
    <w:rsid w:val="00DE18A7"/>
    <w:rsid w:val="00E06D39"/>
    <w:rsid w:val="00E17CDE"/>
    <w:rsid w:val="00E20953"/>
    <w:rsid w:val="00E22516"/>
    <w:rsid w:val="00E22D23"/>
    <w:rsid w:val="00E24354"/>
    <w:rsid w:val="00E26180"/>
    <w:rsid w:val="00E42C9E"/>
    <w:rsid w:val="00E50A72"/>
    <w:rsid w:val="00E51037"/>
    <w:rsid w:val="00E54798"/>
    <w:rsid w:val="00E64751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0B21"/>
    <w:rsid w:val="00EF161C"/>
    <w:rsid w:val="00EF5479"/>
    <w:rsid w:val="00F1158D"/>
    <w:rsid w:val="00F14A0B"/>
    <w:rsid w:val="00F17765"/>
    <w:rsid w:val="00F17797"/>
    <w:rsid w:val="00F2604C"/>
    <w:rsid w:val="00F26486"/>
    <w:rsid w:val="00F31EBF"/>
    <w:rsid w:val="00F3487A"/>
    <w:rsid w:val="00F34EE9"/>
    <w:rsid w:val="00F45A16"/>
    <w:rsid w:val="00F6199B"/>
    <w:rsid w:val="00F70AA4"/>
    <w:rsid w:val="00F72151"/>
    <w:rsid w:val="00F74A95"/>
    <w:rsid w:val="00F76442"/>
    <w:rsid w:val="00F8103E"/>
    <w:rsid w:val="00F849B0"/>
    <w:rsid w:val="00F93E4D"/>
    <w:rsid w:val="00F97944"/>
    <w:rsid w:val="00FA486B"/>
    <w:rsid w:val="00FA58C5"/>
    <w:rsid w:val="00FA6D72"/>
    <w:rsid w:val="00FB3D74"/>
    <w:rsid w:val="00FC02BE"/>
    <w:rsid w:val="00FC0925"/>
    <w:rsid w:val="00FD644E"/>
    <w:rsid w:val="00FE54D8"/>
    <w:rsid w:val="00FE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Hervorhebung">
    <w:name w:val="Emphasis"/>
    <w:basedOn w:val="Absatz-Standardschriftart"/>
    <w:uiPriority w:val="20"/>
    <w:qFormat/>
    <w:rsid w:val="00F45A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.wikipedia.org/wiki/H-_und_P-S%C3%A4tz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10" Type="http://schemas.openxmlformats.org/officeDocument/2006/relationships/hyperlink" Target="http://de.wikipedia.org/wiki/H-_und_P-S%C3%A4tze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56FE66EA-ECB6-42C0-8067-D3227E13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63</cp:revision>
  <cp:lastPrinted>2015-08-10T22:16:00Z</cp:lastPrinted>
  <dcterms:created xsi:type="dcterms:W3CDTF">2013-07-22T16:07:00Z</dcterms:created>
  <dcterms:modified xsi:type="dcterms:W3CDTF">2015-08-28T11:15:00Z</dcterms:modified>
</cp:coreProperties>
</file>