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9" w:rsidRPr="00984EF9" w:rsidRDefault="009F66D3" w:rsidP="00401CFE">
      <w:pPr>
        <w:pStyle w:val="berschrift2"/>
        <w:numPr>
          <w:ilvl w:val="0"/>
          <w:numId w:val="0"/>
        </w:numPr>
        <w:ind w:left="576" w:hanging="576"/>
      </w:pPr>
      <w:bookmarkStart w:id="0" w:name="_Toc427313197"/>
      <w:r>
        <w:t xml:space="preserve">Eisennitrat-Lösung mit </w:t>
      </w:r>
      <w:proofErr w:type="spellStart"/>
      <w:r>
        <w:t>Ammoniumthiocyanat</w:t>
      </w:r>
      <w:bookmarkEnd w:id="0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9E282C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E282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1" w:name="_Toc425776595"/>
            <w:bookmarkEnd w:id="1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F49D0" w:rsidRDefault="009F49D0" w:rsidP="00D76F6F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49D0">
              <w:rPr>
                <w:rFonts w:asciiTheme="majorHAnsi" w:hAnsiTheme="majorHAnsi" w:cs="ArialMT"/>
                <w:color w:val="auto"/>
                <w:sz w:val="20"/>
                <w:szCs w:val="20"/>
              </w:rPr>
              <w:t>Eisen(III)-</w:t>
            </w:r>
            <w:proofErr w:type="spellStart"/>
            <w:r w:rsidRPr="009F49D0">
              <w:rPr>
                <w:rFonts w:asciiTheme="majorHAnsi" w:hAnsiTheme="majorHAnsi" w:cs="ArialMT"/>
                <w:color w:val="auto"/>
                <w:sz w:val="20"/>
                <w:szCs w:val="20"/>
              </w:rPr>
              <w:t>nitrat-Nonahydrat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F49D0" w:rsidRDefault="00D76F6F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H: 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272-315-319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F49D0" w:rsidRDefault="00D76F6F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P: 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302+352,305+351+338</w:t>
            </w:r>
          </w:p>
        </w:tc>
      </w:tr>
      <w:tr w:rsidR="005324A0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9F49D0" w:rsidRDefault="009F49D0" w:rsidP="009E282C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9F49D0">
              <w:rPr>
                <w:rFonts w:asciiTheme="majorHAnsi" w:hAnsiTheme="majorHAnsi"/>
                <w:sz w:val="20"/>
                <w:szCs w:val="20"/>
              </w:rPr>
              <w:t>Ammoniumthiocyanat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24A0" w:rsidRPr="009F49D0" w:rsidRDefault="005324A0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H: 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302-312-332-412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324A0" w:rsidRPr="009F49D0" w:rsidRDefault="005324A0" w:rsidP="009F49D0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P: </w:t>
            </w:r>
            <w:hyperlink r:id="rId8" w:anchor="P-S.C3.A4tze" w:tooltip="H- und P-Sätze" w:history="1">
              <w:r w:rsidR="009F49D0" w:rsidRPr="009F49D0">
                <w:rPr>
                  <w:rStyle w:val="Hyperlink"/>
                  <w:rFonts w:asciiTheme="majorHAnsi" w:hAnsiTheme="majorHAnsi"/>
                  <w:color w:val="auto"/>
                  <w:sz w:val="20"/>
                  <w:szCs w:val="20"/>
                  <w:u w:val="none"/>
                </w:rPr>
                <w:t>273</w:t>
              </w:r>
            </w:hyperlink>
            <w:r w:rsidRPr="009F49D0">
              <w:rPr>
                <w:rFonts w:asciiTheme="majorHAnsi" w:hAnsiTheme="majorHAnsi"/>
                <w:sz w:val="20"/>
                <w:szCs w:val="20"/>
              </w:rPr>
              <w:t>-​30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2</w:t>
            </w:r>
            <w:r w:rsidRPr="009F49D0">
              <w:rPr>
                <w:rFonts w:asciiTheme="majorHAnsi" w:hAnsiTheme="majorHAnsi"/>
                <w:sz w:val="20"/>
                <w:szCs w:val="20"/>
              </w:rPr>
              <w:t>+35</w:t>
            </w:r>
            <w:r w:rsidR="009F49D0" w:rsidRPr="009F49D0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76F6F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9F49D0" w:rsidRDefault="009F49D0" w:rsidP="00D76F6F">
            <w:pPr>
              <w:spacing w:after="0" w:line="276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F49D0">
              <w:rPr>
                <w:rFonts w:asciiTheme="majorHAnsi" w:hAnsiTheme="majorHAnsi"/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9F49D0" w:rsidRDefault="00D76F6F" w:rsidP="005324A0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H: </w:t>
            </w:r>
            <w:r w:rsidR="005324A0" w:rsidRPr="009F49D0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9F49D0" w:rsidRDefault="00D76F6F" w:rsidP="005324A0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49D0">
              <w:rPr>
                <w:rFonts w:asciiTheme="majorHAnsi" w:hAnsiTheme="majorHAnsi"/>
                <w:sz w:val="20"/>
                <w:szCs w:val="20"/>
              </w:rPr>
              <w:t xml:space="preserve">P: </w:t>
            </w:r>
            <w:r w:rsidR="005324A0" w:rsidRPr="009F49D0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D76F6F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FE71AC">
      <w:pPr>
        <w:tabs>
          <w:tab w:val="left" w:pos="1701"/>
          <w:tab w:val="left" w:pos="1985"/>
        </w:tabs>
        <w:ind w:left="1980" w:hanging="1980"/>
      </w:pPr>
    </w:p>
    <w:p w:rsidR="00A9233D" w:rsidRPr="00CA2A80" w:rsidRDefault="008E1A25" w:rsidP="00FE71AC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t xml:space="preserve">Materialien: </w:t>
      </w:r>
      <w:r>
        <w:tab/>
      </w:r>
      <w:r>
        <w:tab/>
      </w:r>
      <w:r w:rsidR="009E282C" w:rsidRPr="00CA2A80">
        <w:rPr>
          <w:rFonts w:asciiTheme="majorHAnsi" w:hAnsiTheme="majorHAnsi"/>
        </w:rPr>
        <w:t>Reagenzgläser</w:t>
      </w:r>
      <w:r w:rsidR="009F22E9" w:rsidRPr="00CA2A80">
        <w:rPr>
          <w:rFonts w:asciiTheme="majorHAnsi" w:hAnsiTheme="majorHAnsi"/>
        </w:rPr>
        <w:t>, Reagenzglasständer, Bechergläser (100mL)</w:t>
      </w:r>
      <w:r w:rsidR="009E282C" w:rsidRPr="00CA2A80">
        <w:rPr>
          <w:rFonts w:asciiTheme="majorHAnsi" w:hAnsiTheme="majorHAnsi"/>
        </w:rPr>
        <w:t xml:space="preserve"> </w:t>
      </w:r>
    </w:p>
    <w:p w:rsidR="009F22E9" w:rsidRPr="00CA2A80" w:rsidRDefault="00A9233D" w:rsidP="00FE71AC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 w:rsidRPr="00CA2A80">
        <w:rPr>
          <w:rFonts w:asciiTheme="majorHAnsi" w:hAnsiTheme="majorHAnsi"/>
        </w:rPr>
        <w:t>Chemikalien:</w:t>
      </w:r>
      <w:r w:rsidRPr="00CA2A80">
        <w:rPr>
          <w:rFonts w:asciiTheme="majorHAnsi" w:hAnsiTheme="majorHAnsi"/>
        </w:rPr>
        <w:tab/>
      </w:r>
      <w:r w:rsidRPr="00CA2A80">
        <w:rPr>
          <w:rFonts w:asciiTheme="majorHAnsi" w:hAnsiTheme="majorHAnsi"/>
        </w:rPr>
        <w:tab/>
      </w:r>
      <w:r w:rsidR="009E282C" w:rsidRPr="00CA2A80">
        <w:rPr>
          <w:rFonts w:asciiTheme="majorHAnsi" w:hAnsiTheme="majorHAnsi"/>
        </w:rPr>
        <w:t xml:space="preserve">Wasser, </w:t>
      </w:r>
      <w:r w:rsidR="009F22E9" w:rsidRPr="00CA2A80">
        <w:rPr>
          <w:rFonts w:asciiTheme="majorHAnsi" w:hAnsiTheme="majorHAnsi" w:cs="ArialMT"/>
          <w:color w:val="auto"/>
        </w:rPr>
        <w:t>Eisen(III)-</w:t>
      </w:r>
      <w:proofErr w:type="spellStart"/>
      <w:r w:rsidR="009F22E9" w:rsidRPr="00CA2A80">
        <w:rPr>
          <w:rFonts w:asciiTheme="majorHAnsi" w:hAnsiTheme="majorHAnsi" w:cs="ArialMT"/>
          <w:color w:val="auto"/>
        </w:rPr>
        <w:t>nitrat-Nonahydrat</w:t>
      </w:r>
      <w:proofErr w:type="spellEnd"/>
      <w:r w:rsidR="009E282C" w:rsidRPr="00CA2A80">
        <w:rPr>
          <w:rFonts w:asciiTheme="majorHAnsi" w:hAnsiTheme="majorHAnsi"/>
        </w:rPr>
        <w:t xml:space="preserve">, </w:t>
      </w:r>
      <w:proofErr w:type="spellStart"/>
      <w:r w:rsidR="009F22E9"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="009F22E9" w:rsidRPr="00CA2A80">
        <w:rPr>
          <w:rFonts w:asciiTheme="majorHAnsi" w:hAnsiTheme="majorHAnsi"/>
        </w:rPr>
        <w:t xml:space="preserve"> </w:t>
      </w:r>
    </w:p>
    <w:p w:rsidR="009E282C" w:rsidRPr="00CA2A80" w:rsidRDefault="008E1A25" w:rsidP="009F22E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 w:rsidRPr="00CA2A80">
        <w:rPr>
          <w:rFonts w:asciiTheme="majorHAnsi" w:hAnsiTheme="majorHAnsi"/>
        </w:rPr>
        <w:t xml:space="preserve">Durchführung: </w:t>
      </w:r>
      <w:r w:rsidRPr="00CA2A80">
        <w:rPr>
          <w:rFonts w:asciiTheme="majorHAnsi" w:hAnsiTheme="majorHAnsi"/>
        </w:rPr>
        <w:tab/>
      </w:r>
      <w:r w:rsidRPr="00CA2A80">
        <w:rPr>
          <w:rFonts w:asciiTheme="majorHAnsi" w:hAnsiTheme="majorHAnsi"/>
        </w:rPr>
        <w:tab/>
      </w:r>
      <w:r w:rsidR="009F22E9" w:rsidRPr="00CA2A80">
        <w:rPr>
          <w:rFonts w:asciiTheme="majorHAnsi" w:hAnsiTheme="majorHAnsi"/>
        </w:rPr>
        <w:t>In zwei Bechergläser</w:t>
      </w:r>
      <w:r w:rsidR="009F66D3" w:rsidRPr="00CA2A80">
        <w:rPr>
          <w:rFonts w:asciiTheme="majorHAnsi" w:hAnsiTheme="majorHAnsi"/>
        </w:rPr>
        <w:t>n</w:t>
      </w:r>
      <w:r w:rsidR="009F22E9" w:rsidRPr="00CA2A80">
        <w:rPr>
          <w:rFonts w:asciiTheme="majorHAnsi" w:hAnsiTheme="majorHAnsi"/>
        </w:rPr>
        <w:t xml:space="preserve"> w</w:t>
      </w:r>
      <w:r w:rsidR="009F66D3" w:rsidRPr="00CA2A80">
        <w:rPr>
          <w:rFonts w:asciiTheme="majorHAnsi" w:hAnsiTheme="majorHAnsi"/>
        </w:rPr>
        <w:t>erden</w:t>
      </w:r>
      <w:r w:rsidR="009F22E9" w:rsidRPr="00CA2A80">
        <w:rPr>
          <w:rFonts w:asciiTheme="majorHAnsi" w:hAnsiTheme="majorHAnsi"/>
        </w:rPr>
        <w:t xml:space="preserve">  eine 0,1 M Eisennitrat-Lösung sowie eine 0,1</w:t>
      </w:r>
      <w:r w:rsidR="00E90DDC">
        <w:rPr>
          <w:rFonts w:asciiTheme="majorHAnsi" w:hAnsiTheme="majorHAnsi"/>
        </w:rPr>
        <w:t xml:space="preserve"> </w:t>
      </w:r>
      <w:r w:rsidR="009F22E9" w:rsidRPr="00CA2A80">
        <w:rPr>
          <w:rFonts w:asciiTheme="majorHAnsi" w:hAnsiTheme="majorHAnsi"/>
        </w:rPr>
        <w:t xml:space="preserve">M </w:t>
      </w:r>
      <w:proofErr w:type="spellStart"/>
      <w:r w:rsidR="009F22E9" w:rsidRPr="00CA2A80">
        <w:rPr>
          <w:rFonts w:asciiTheme="majorHAnsi" w:hAnsiTheme="majorHAnsi"/>
        </w:rPr>
        <w:t>Ammoniumthiocyanat</w:t>
      </w:r>
      <w:proofErr w:type="spellEnd"/>
      <w:r w:rsidR="009F22E9" w:rsidRPr="00CA2A80">
        <w:rPr>
          <w:rFonts w:asciiTheme="majorHAnsi" w:hAnsiTheme="majorHAnsi"/>
        </w:rPr>
        <w:t xml:space="preserve">-Lösung hergestellt. </w:t>
      </w:r>
      <w:r w:rsidR="009F66D3" w:rsidRPr="00CA2A80">
        <w:rPr>
          <w:rFonts w:asciiTheme="majorHAnsi" w:hAnsiTheme="majorHAnsi"/>
        </w:rPr>
        <w:t>Davon</w:t>
      </w:r>
      <w:r w:rsidR="00E90DDC">
        <w:rPr>
          <w:rFonts w:asciiTheme="majorHAnsi" w:hAnsiTheme="majorHAnsi"/>
        </w:rPr>
        <w:t xml:space="preserve"> werden ca. 3 </w:t>
      </w:r>
      <w:proofErr w:type="spellStart"/>
      <w:r w:rsidR="009F22E9" w:rsidRPr="00CA2A80">
        <w:rPr>
          <w:rFonts w:asciiTheme="majorHAnsi" w:hAnsiTheme="majorHAnsi"/>
        </w:rPr>
        <w:t>m</w:t>
      </w:r>
      <w:r w:rsidR="00E90DDC">
        <w:rPr>
          <w:rFonts w:asciiTheme="majorHAnsi" w:hAnsiTheme="majorHAnsi"/>
        </w:rPr>
        <w:t>L</w:t>
      </w:r>
      <w:proofErr w:type="spellEnd"/>
      <w:r w:rsidR="00E90DDC">
        <w:rPr>
          <w:rFonts w:asciiTheme="majorHAnsi" w:hAnsiTheme="majorHAnsi"/>
        </w:rPr>
        <w:t xml:space="preserve"> </w:t>
      </w:r>
      <w:r w:rsidR="009F22E9" w:rsidRPr="00CA2A80">
        <w:rPr>
          <w:rFonts w:asciiTheme="majorHAnsi" w:hAnsiTheme="majorHAnsi"/>
        </w:rPr>
        <w:t xml:space="preserve">jeweils in zwei Reagenzgläser gegeben. </w:t>
      </w:r>
      <w:r w:rsidR="007F3646" w:rsidRPr="00CA2A80">
        <w:rPr>
          <w:rFonts w:asciiTheme="majorHAnsi" w:hAnsiTheme="majorHAnsi"/>
        </w:rPr>
        <w:t xml:space="preserve">In </w:t>
      </w:r>
      <w:r w:rsidR="00427158" w:rsidRPr="00CA2A80">
        <w:rPr>
          <w:rFonts w:asciiTheme="majorHAnsi" w:hAnsiTheme="majorHAnsi"/>
        </w:rPr>
        <w:t>vier weitere Reagenzgläser</w:t>
      </w:r>
      <w:r w:rsidR="007F3646" w:rsidRPr="00CA2A80">
        <w:rPr>
          <w:rFonts w:asciiTheme="majorHAnsi" w:hAnsiTheme="majorHAnsi"/>
        </w:rPr>
        <w:t xml:space="preserve"> w</w:t>
      </w:r>
      <w:r w:rsidR="00CA2D70">
        <w:rPr>
          <w:rFonts w:asciiTheme="majorHAnsi" w:hAnsiTheme="majorHAnsi"/>
        </w:rPr>
        <w:t>e</w:t>
      </w:r>
      <w:r w:rsidR="00CA2D70">
        <w:rPr>
          <w:rFonts w:asciiTheme="majorHAnsi" w:hAnsiTheme="majorHAnsi"/>
        </w:rPr>
        <w:t>r</w:t>
      </w:r>
      <w:r w:rsidR="00CA2D70">
        <w:rPr>
          <w:rFonts w:asciiTheme="majorHAnsi" w:hAnsiTheme="majorHAnsi"/>
        </w:rPr>
        <w:t>den</w:t>
      </w:r>
      <w:r w:rsidR="007F3646" w:rsidRPr="00CA2A80">
        <w:rPr>
          <w:rFonts w:asciiTheme="majorHAnsi" w:hAnsiTheme="majorHAnsi"/>
        </w:rPr>
        <w:t xml:space="preserve"> erst ca</w:t>
      </w:r>
      <w:r w:rsidR="00CA2D70">
        <w:rPr>
          <w:rFonts w:asciiTheme="majorHAnsi" w:hAnsiTheme="majorHAnsi"/>
        </w:rPr>
        <w:t>.</w:t>
      </w:r>
      <w:r w:rsidR="00E90DDC">
        <w:rPr>
          <w:rFonts w:asciiTheme="majorHAnsi" w:hAnsiTheme="majorHAnsi"/>
        </w:rPr>
        <w:t xml:space="preserve"> 2 </w:t>
      </w:r>
      <w:proofErr w:type="spellStart"/>
      <w:r w:rsidR="007F3646" w:rsidRPr="00CA2A80">
        <w:rPr>
          <w:rFonts w:asciiTheme="majorHAnsi" w:hAnsiTheme="majorHAnsi"/>
        </w:rPr>
        <w:t>mL</w:t>
      </w:r>
      <w:proofErr w:type="spellEnd"/>
      <w:r w:rsidR="007F3646" w:rsidRPr="00CA2A80">
        <w:rPr>
          <w:rFonts w:asciiTheme="majorHAnsi" w:hAnsiTheme="majorHAnsi"/>
        </w:rPr>
        <w:t xml:space="preserve"> Eisennitrat</w:t>
      </w:r>
      <w:r w:rsidR="009F66D3" w:rsidRPr="00CA2A80">
        <w:rPr>
          <w:rFonts w:asciiTheme="majorHAnsi" w:hAnsiTheme="majorHAnsi"/>
        </w:rPr>
        <w:t>-Lösung</w:t>
      </w:r>
      <w:r w:rsidR="007F3646" w:rsidRPr="00CA2A80">
        <w:rPr>
          <w:rFonts w:asciiTheme="majorHAnsi" w:hAnsiTheme="majorHAnsi"/>
        </w:rPr>
        <w:t xml:space="preserve"> und dann wenige Tropfen </w:t>
      </w:r>
      <w:proofErr w:type="spellStart"/>
      <w:r w:rsidR="007F3646" w:rsidRPr="00CA2A80">
        <w:rPr>
          <w:rFonts w:asciiTheme="majorHAnsi" w:hAnsiTheme="majorHAnsi"/>
        </w:rPr>
        <w:t>Ammoniumt</w:t>
      </w:r>
      <w:r w:rsidR="00427158" w:rsidRPr="00CA2A80">
        <w:rPr>
          <w:rFonts w:asciiTheme="majorHAnsi" w:hAnsiTheme="majorHAnsi"/>
        </w:rPr>
        <w:t>hiocyanat</w:t>
      </w:r>
      <w:proofErr w:type="spellEnd"/>
      <w:r w:rsidR="00CA2D70">
        <w:rPr>
          <w:rFonts w:asciiTheme="majorHAnsi" w:hAnsiTheme="majorHAnsi"/>
        </w:rPr>
        <w:t>-L</w:t>
      </w:r>
      <w:r w:rsidR="00427158" w:rsidRPr="00CA2A80">
        <w:rPr>
          <w:rFonts w:asciiTheme="majorHAnsi" w:hAnsiTheme="majorHAnsi"/>
        </w:rPr>
        <w:t xml:space="preserve">ösung </w:t>
      </w:r>
      <w:r w:rsidR="00E90DDC">
        <w:rPr>
          <w:rFonts w:asciiTheme="majorHAnsi" w:hAnsiTheme="majorHAnsi"/>
        </w:rPr>
        <w:t>hinzu getropft. Eines dient als</w:t>
      </w:r>
      <w:r w:rsidR="007F3646" w:rsidRPr="00CA2A80">
        <w:rPr>
          <w:rFonts w:asciiTheme="majorHAnsi" w:hAnsiTheme="majorHAnsi"/>
        </w:rPr>
        <w:t xml:space="preserve"> </w:t>
      </w:r>
      <w:r w:rsidR="00427158" w:rsidRPr="00CA2A80">
        <w:rPr>
          <w:rFonts w:asciiTheme="majorHAnsi" w:hAnsiTheme="majorHAnsi"/>
        </w:rPr>
        <w:t>Vergleich</w:t>
      </w:r>
      <w:r w:rsidR="00427158" w:rsidRPr="00CA2A80">
        <w:rPr>
          <w:rFonts w:asciiTheme="majorHAnsi" w:hAnsiTheme="majorHAnsi"/>
        </w:rPr>
        <w:t>s</w:t>
      </w:r>
      <w:r w:rsidR="00427158" w:rsidRPr="00CA2A80">
        <w:rPr>
          <w:rFonts w:asciiTheme="majorHAnsi" w:hAnsiTheme="majorHAnsi"/>
        </w:rPr>
        <w:t>probe). Nun wird die rote Lösung mit Wasser bis zu einer Farbänderung verdünnt.  Anschließend gibt man jeweils etwas Eisennitrat-Lösung, Wa</w:t>
      </w:r>
      <w:r w:rsidR="00427158" w:rsidRPr="00CA2A80">
        <w:rPr>
          <w:rFonts w:asciiTheme="majorHAnsi" w:hAnsiTheme="majorHAnsi"/>
        </w:rPr>
        <w:t>s</w:t>
      </w:r>
      <w:r w:rsidR="00427158" w:rsidRPr="00CA2A80">
        <w:rPr>
          <w:rFonts w:asciiTheme="majorHAnsi" w:hAnsiTheme="majorHAnsi"/>
        </w:rPr>
        <w:t xml:space="preserve">ser und </w:t>
      </w:r>
      <w:proofErr w:type="spellStart"/>
      <w:r w:rsidR="00427158" w:rsidRPr="00CA2A80">
        <w:rPr>
          <w:rFonts w:asciiTheme="majorHAnsi" w:hAnsiTheme="majorHAnsi"/>
        </w:rPr>
        <w:t>Ammoniumthiocyanat</w:t>
      </w:r>
      <w:proofErr w:type="spellEnd"/>
      <w:r w:rsidR="00427158" w:rsidRPr="00CA2A80">
        <w:rPr>
          <w:rFonts w:asciiTheme="majorHAnsi" w:hAnsiTheme="majorHAnsi"/>
        </w:rPr>
        <w:t xml:space="preserve">-Lösung in die </w:t>
      </w:r>
      <w:r w:rsidR="00CA2D70">
        <w:rPr>
          <w:rFonts w:asciiTheme="majorHAnsi" w:hAnsiTheme="majorHAnsi"/>
        </w:rPr>
        <w:t xml:space="preserve">jeweiligen </w:t>
      </w:r>
      <w:r w:rsidR="00427158" w:rsidRPr="00CA2A80">
        <w:rPr>
          <w:rFonts w:asciiTheme="majorHAnsi" w:hAnsiTheme="majorHAnsi"/>
        </w:rPr>
        <w:t>Reagenzgläser</w:t>
      </w:r>
      <w:r w:rsidR="00CA2D70">
        <w:rPr>
          <w:rFonts w:asciiTheme="majorHAnsi" w:hAnsiTheme="majorHAnsi"/>
        </w:rPr>
        <w:t xml:space="preserve"> hi</w:t>
      </w:r>
      <w:r w:rsidR="00CA2D70">
        <w:rPr>
          <w:rFonts w:asciiTheme="majorHAnsi" w:hAnsiTheme="majorHAnsi"/>
        </w:rPr>
        <w:t>n</w:t>
      </w:r>
      <w:r w:rsidR="00CA2D70">
        <w:rPr>
          <w:rFonts w:asciiTheme="majorHAnsi" w:hAnsiTheme="majorHAnsi"/>
        </w:rPr>
        <w:t>zu</w:t>
      </w:r>
      <w:r w:rsidR="00427158" w:rsidRPr="00CA2A80">
        <w:rPr>
          <w:rFonts w:asciiTheme="majorHAnsi" w:hAnsiTheme="majorHAnsi"/>
        </w:rPr>
        <w:t>.</w:t>
      </w:r>
    </w:p>
    <w:p w:rsidR="009E282C" w:rsidRPr="00CA2A80" w:rsidRDefault="009E282C" w:rsidP="00FE71AC">
      <w:pPr>
        <w:autoSpaceDE w:val="0"/>
        <w:autoSpaceDN w:val="0"/>
        <w:adjustRightInd w:val="0"/>
        <w:spacing w:after="0"/>
        <w:ind w:left="1985" w:hanging="2124"/>
        <w:rPr>
          <w:rFonts w:asciiTheme="majorHAnsi" w:hAnsiTheme="majorHAnsi" w:cs="Cambria"/>
          <w:color w:val="1D1B11"/>
        </w:rPr>
      </w:pPr>
      <w:r w:rsidRPr="00CA2A80">
        <w:rPr>
          <w:rFonts w:asciiTheme="majorHAnsi" w:hAnsiTheme="majorHAnsi"/>
        </w:rPr>
        <w:t>Beobachtung:</w:t>
      </w:r>
      <w:r w:rsidRPr="00CA2A80">
        <w:rPr>
          <w:rFonts w:asciiTheme="majorHAnsi" w:hAnsiTheme="majorHAnsi"/>
        </w:rPr>
        <w:tab/>
      </w:r>
      <w:r w:rsidR="00427158" w:rsidRPr="00CA2A80">
        <w:rPr>
          <w:rFonts w:asciiTheme="majorHAnsi" w:hAnsiTheme="majorHAnsi" w:cs="ArialMT"/>
          <w:color w:val="auto"/>
        </w:rPr>
        <w:t>Eisen(III)-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nitrat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- und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>-Lösung weisen zusammen eine rote Färbung auf. Bei Verdünnen mit Wasser kommt es zu einer Far</w:t>
      </w:r>
      <w:r w:rsidR="00427158" w:rsidRPr="00CA2A80">
        <w:rPr>
          <w:rFonts w:asciiTheme="majorHAnsi" w:hAnsiTheme="majorHAnsi" w:cs="ArialMT"/>
          <w:color w:val="auto"/>
        </w:rPr>
        <w:t>b</w:t>
      </w:r>
      <w:r w:rsidR="00427158" w:rsidRPr="00CA2A80">
        <w:rPr>
          <w:rFonts w:asciiTheme="majorHAnsi" w:hAnsiTheme="majorHAnsi" w:cs="ArialMT"/>
          <w:color w:val="auto"/>
        </w:rPr>
        <w:t>änderung von rot nach bernsteingelb. Durch Zugabe von Eisen(III)-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nitrat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- und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="00427158" w:rsidRPr="00CA2A80">
        <w:rPr>
          <w:rFonts w:asciiTheme="majorHAnsi" w:hAnsiTheme="majorHAnsi" w:cs="ArialMT"/>
          <w:color w:val="auto"/>
        </w:rPr>
        <w:t>-Lösun</w:t>
      </w:r>
      <w:r w:rsidR="00CA2A80">
        <w:rPr>
          <w:rFonts w:asciiTheme="majorHAnsi" w:hAnsiTheme="majorHAnsi" w:cs="ArialMT"/>
          <w:color w:val="auto"/>
        </w:rPr>
        <w:t xml:space="preserve">g </w:t>
      </w:r>
      <w:r w:rsidR="00427158" w:rsidRPr="00CA2A80">
        <w:rPr>
          <w:rFonts w:asciiTheme="majorHAnsi" w:hAnsiTheme="majorHAnsi" w:cs="Cambria"/>
          <w:color w:val="1D1B11"/>
        </w:rPr>
        <w:t xml:space="preserve">färbt sich die Lösung wieder blutrot. </w:t>
      </w:r>
      <w:r w:rsidR="00CA2D70">
        <w:rPr>
          <w:rFonts w:asciiTheme="majorHAnsi" w:hAnsiTheme="majorHAnsi" w:cs="Cambria"/>
          <w:color w:val="1D1B11"/>
        </w:rPr>
        <w:t>Bei Zugabe von Wasser wird die Lösung noch gelber.</w:t>
      </w:r>
    </w:p>
    <w:p w:rsidR="00427158" w:rsidRDefault="00427158" w:rsidP="00FE71AC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</w:p>
    <w:p w:rsidR="009E282C" w:rsidRDefault="00427158" w:rsidP="00427158">
      <w:pPr>
        <w:autoSpaceDE w:val="0"/>
        <w:autoSpaceDN w:val="0"/>
        <w:adjustRightInd w:val="0"/>
        <w:spacing w:after="0"/>
        <w:ind w:left="1985" w:hanging="2124"/>
        <w:rPr>
          <w:rFonts w:cs="Cambria"/>
          <w:color w:val="1D1B11"/>
        </w:rPr>
      </w:pPr>
      <w:r>
        <w:rPr>
          <w:rFonts w:cs="Cambria"/>
          <w:color w:val="1D1B11"/>
        </w:rPr>
        <w:tab/>
      </w: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9E282C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</w:p>
    <w:p w:rsidR="00B901F6" w:rsidRDefault="009E282C" w:rsidP="009E282C">
      <w:pPr>
        <w:autoSpaceDE w:val="0"/>
        <w:autoSpaceDN w:val="0"/>
        <w:adjustRightInd w:val="0"/>
        <w:spacing w:after="0" w:line="240" w:lineRule="auto"/>
        <w:jc w:val="left"/>
        <w:rPr>
          <w:rFonts w:cs="Cambria"/>
          <w:color w:val="1D1B11"/>
        </w:rPr>
      </w:pPr>
      <w:r>
        <w:rPr>
          <w:rFonts w:cs="Cambria"/>
          <w:color w:val="1D1B11"/>
        </w:rPr>
        <w:lastRenderedPageBreak/>
        <w:tab/>
      </w:r>
      <w:r>
        <w:rPr>
          <w:rFonts w:cs="Cambria"/>
          <w:color w:val="1D1B11"/>
        </w:rPr>
        <w:tab/>
      </w:r>
      <w:r w:rsidR="00DE1235">
        <w:rPr>
          <w:rFonts w:cs="Cambria"/>
          <w:color w:val="1D1B11"/>
        </w:rPr>
        <w:tab/>
      </w:r>
      <w:r w:rsidR="00DB1B85">
        <w:rPr>
          <w:noProof/>
          <w:lang w:eastAsia="de-DE"/>
        </w:rPr>
        <w:drawing>
          <wp:inline distT="0" distB="0" distL="0" distR="0">
            <wp:extent cx="2657475" cy="2000250"/>
            <wp:effectExtent l="19050" t="0" r="9525" b="0"/>
            <wp:docPr id="5" name="Grafik 4" descr="20150807_12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124351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85" w:rsidRDefault="00DB1B85" w:rsidP="009E282C">
      <w:pPr>
        <w:autoSpaceDE w:val="0"/>
        <w:autoSpaceDN w:val="0"/>
        <w:adjustRightInd w:val="0"/>
        <w:spacing w:after="0" w:line="240" w:lineRule="auto"/>
        <w:jc w:val="left"/>
      </w:pPr>
    </w:p>
    <w:p w:rsidR="00B901F6" w:rsidRDefault="00B901F6" w:rsidP="00CA2A80">
      <w:pPr>
        <w:pStyle w:val="Beschriftung"/>
        <w:ind w:left="2126"/>
        <w:jc w:val="left"/>
      </w:pPr>
      <w:r>
        <w:t xml:space="preserve">Abb. </w:t>
      </w:r>
      <w:fldSimple w:instr=" SEQ Abb. \* ARABIC ">
        <w:r w:rsidR="00401EBE">
          <w:rPr>
            <w:noProof/>
          </w:rPr>
          <w:t>1</w:t>
        </w:r>
      </w:fldSimple>
      <w:r w:rsidR="00DE1235">
        <w:t xml:space="preserve"> </w:t>
      </w:r>
      <w:r w:rsidR="007D2B9C">
        <w:t xml:space="preserve">Gelbe </w:t>
      </w:r>
      <w:proofErr w:type="spellStart"/>
      <w:r w:rsidR="00DE1235">
        <w:t>Eisennitratlösung</w:t>
      </w:r>
      <w:proofErr w:type="spellEnd"/>
      <w:r w:rsidR="00DE1235">
        <w:t xml:space="preserve">, </w:t>
      </w:r>
      <w:r w:rsidR="007D2B9C">
        <w:t xml:space="preserve">farblose </w:t>
      </w:r>
      <w:proofErr w:type="spellStart"/>
      <w:r w:rsidR="00DE1235">
        <w:t>Ammoniumthiocyanat</w:t>
      </w:r>
      <w:proofErr w:type="spellEnd"/>
      <w:r w:rsidR="00CA2A80">
        <w:t xml:space="preserve"> und blutroter </w:t>
      </w:r>
      <w:proofErr w:type="spellStart"/>
      <w:r w:rsidR="00CA2A80">
        <w:t>Eisenthio</w:t>
      </w:r>
      <w:r w:rsidR="00E90DDC">
        <w:t>c</w:t>
      </w:r>
      <w:r w:rsidR="00CA2A80">
        <w:t>yanat</w:t>
      </w:r>
      <w:proofErr w:type="spellEnd"/>
      <w:r w:rsidR="00CA2A80">
        <w:t xml:space="preserve">-Komplex als Vergleichslösungen, </w:t>
      </w:r>
      <w:proofErr w:type="spellStart"/>
      <w:r w:rsidR="00CA2A80">
        <w:t>Eisenthio</w:t>
      </w:r>
      <w:r w:rsidR="00E90DDC">
        <w:t>c</w:t>
      </w:r>
      <w:r w:rsidR="00CA2A80">
        <w:t>yanat</w:t>
      </w:r>
      <w:proofErr w:type="spellEnd"/>
      <w:r w:rsidR="00CA2A80">
        <w:t xml:space="preserve">-Komplex mit weiterer Eisennitrat, </w:t>
      </w:r>
      <w:proofErr w:type="spellStart"/>
      <w:r w:rsidR="00CA2A80">
        <w:t>Ammoniumthiocyanat</w:t>
      </w:r>
      <w:proofErr w:type="spellEnd"/>
      <w:r w:rsidR="00CA2A80">
        <w:t>-Lösung und mit Wasser (links nach rechts)</w:t>
      </w:r>
    </w:p>
    <w:p w:rsidR="00427158" w:rsidRPr="00CA2A80" w:rsidRDefault="00DB1B85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hAnsiTheme="majorHAnsi" w:cs="ArialMT"/>
          <w:color w:val="auto"/>
        </w:rPr>
      </w:pPr>
      <w:r>
        <w:t>Deutung:</w:t>
      </w:r>
      <w:r>
        <w:tab/>
      </w:r>
      <w:r w:rsidR="00427158" w:rsidRPr="00CA2A80">
        <w:rPr>
          <w:rFonts w:asciiTheme="majorHAnsi" w:hAnsiTheme="majorHAnsi"/>
        </w:rPr>
        <w:t>Es besteht z</w:t>
      </w:r>
      <w:r w:rsidR="00427158" w:rsidRPr="00CA2A80">
        <w:rPr>
          <w:rFonts w:asciiTheme="majorHAnsi" w:hAnsiTheme="majorHAnsi" w:cs="ArialMT"/>
          <w:color w:val="auto"/>
        </w:rPr>
        <w:t xml:space="preserve">wischen den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Eisenhexaquakomplex</w:t>
      </w:r>
      <w:proofErr w:type="spellEnd"/>
      <w:r w:rsidR="00CA2A80" w:rsidRPr="00CA2A80">
        <w:rPr>
          <w:rFonts w:asciiTheme="majorHAnsi" w:hAnsiTheme="majorHAnsi" w:cs="ArialMT"/>
          <w:color w:val="auto"/>
        </w:rPr>
        <w:t xml:space="preserve"> sowie</w:t>
      </w:r>
      <w:r w:rsidR="00427158" w:rsidRPr="00CA2A80">
        <w:rPr>
          <w:rFonts w:asciiTheme="majorHAnsi" w:hAnsiTheme="majorHAnsi" w:cs="ArialMT"/>
          <w:color w:val="auto"/>
        </w:rPr>
        <w:t xml:space="preserve"> </w:t>
      </w:r>
      <w:r w:rsidR="007D2B9C">
        <w:rPr>
          <w:rFonts w:asciiTheme="majorHAnsi" w:hAnsiTheme="majorHAnsi" w:cs="ArialMT"/>
          <w:color w:val="auto"/>
        </w:rPr>
        <w:t xml:space="preserve">den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Thiocyanatanionen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 auf der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Eduktseite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 und dem blutroten </w:t>
      </w:r>
      <w:proofErr w:type="spellStart"/>
      <w:r w:rsidR="00427158" w:rsidRPr="00CA2A80">
        <w:rPr>
          <w:rFonts w:asciiTheme="majorHAnsi" w:hAnsiTheme="majorHAnsi" w:cs="ArialMT"/>
          <w:color w:val="auto"/>
        </w:rPr>
        <w:t>Eisenthiocyanatkomplex</w:t>
      </w:r>
      <w:proofErr w:type="spellEnd"/>
      <w:r w:rsidR="00427158" w:rsidRPr="00CA2A80">
        <w:rPr>
          <w:rFonts w:asciiTheme="majorHAnsi" w:hAnsiTheme="majorHAnsi" w:cs="ArialMT"/>
          <w:color w:val="auto"/>
        </w:rPr>
        <w:t xml:space="preserve"> ein Komplexgleichgewicht</w:t>
      </w:r>
      <w:r w:rsidR="007D2B9C">
        <w:rPr>
          <w:rFonts w:asciiTheme="majorHAnsi" w:hAnsiTheme="majorHAnsi" w:cs="ArialMT"/>
          <w:color w:val="auto"/>
        </w:rPr>
        <w:t>:</w:t>
      </w:r>
    </w:p>
    <w:p w:rsidR="00427158" w:rsidRPr="00CA2A80" w:rsidRDefault="00427158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hAnsiTheme="majorHAnsi" w:cs="ArialMT"/>
          <w:color w:val="auto"/>
        </w:rPr>
      </w:pPr>
    </w:p>
    <w:p w:rsidR="00427158" w:rsidRPr="00CA2A80" w:rsidRDefault="00427158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eastAsiaTheme="minorEastAsia" w:hAnsiTheme="majorHAnsi" w:cs="ArialMT"/>
          <w:color w:val="auto"/>
        </w:rPr>
      </w:pPr>
      <w:r w:rsidRPr="00CA2A80">
        <w:rPr>
          <w:rFonts w:asciiTheme="majorHAnsi" w:hAnsiTheme="majorHAnsi" w:cs="ArialMT"/>
          <w:color w:val="auto"/>
        </w:rPr>
        <w:tab/>
      </w:r>
      <m:oMath>
        <m:sSup>
          <m:sSupPr>
            <m:ctrlPr>
              <w:rPr>
                <w:rFonts w:ascii="Cambria Math" w:hAnsiTheme="majorHAnsi" w:cs="ArialMT"/>
                <w:color w:val="C09200"/>
              </w:rPr>
            </m:ctrlPr>
          </m:sSupPr>
          <m:e>
            <m:sSub>
              <m:sSubPr>
                <m:ctrlPr>
                  <w:rPr>
                    <w:rFonts w:ascii="Cambria Math" w:hAnsiTheme="majorHAnsi" w:cs="ArialMT"/>
                    <w:color w:val="C09200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ajorHAnsi" w:cs="ArialMT"/>
                        <w:color w:val="C0920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ajorHAnsi" w:cs="ArialMT"/>
                        <w:color w:val="C09200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hAnsiTheme="majorHAnsi" w:cs="ArialMT"/>
                            <w:color w:val="C09200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Theme="majorHAnsi" w:cs="ArialMT"/>
                                <w:color w:val="C0920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Theme="majorHAnsi" w:cs="ArialMT"/>
                                    <w:color w:val="C092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Theme="majorHAnsi" w:cs="ArialMT"/>
                                    <w:color w:val="C0920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Theme="majorHAnsi" w:cs="ArialMT"/>
                                    <w:color w:val="C092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rialMT"/>
                                <w:color w:val="C09200"/>
                              </w:rPr>
                              <m:t>O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ajorHAnsi" w:cs="ArialMT"/>
                            <w:color w:val="C09200"/>
                          </w:rPr>
                          <m:t>6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Theme="majorHAnsi" w:cs="ArialMT"/>
                    <w:color w:val="C09200"/>
                  </w:rPr>
                  <m:t>(aq)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Theme="majorHAnsi" w:cs="ArialMT"/>
                <w:color w:val="C09200"/>
              </w:rPr>
              <m:t>3+</m:t>
            </m:r>
          </m:sup>
        </m:sSup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  +3 SC</m:t>
        </m:r>
        <m:sSubSup>
          <m:sSubSupPr>
            <m:ctrlPr>
              <w:rPr>
                <w:rFonts w:ascii="Cambria Math" w:hAnsiTheme="majorHAnsi" w:cs="ArialMT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(aq)</m:t>
            </m:r>
          </m:sub>
          <m:sup>
            <m:r>
              <m:rPr>
                <m:sty m:val="p"/>
              </m:rPr>
              <w:rPr>
                <w:rFonts w:asciiTheme="majorHAnsi" w:hAnsiTheme="majorHAnsi" w:cs="ArialMT"/>
                <w:color w:val="auto"/>
              </w:rPr>
              <m:t>-</m:t>
            </m:r>
            <m:ctrlPr>
              <w:rPr>
                <w:rFonts w:ascii="Cambria Math" w:hAnsi="Cambria Math" w:cs="ArialMT"/>
                <w:color w:val="auto"/>
              </w:rPr>
            </m:ctrlPr>
          </m:sup>
        </m:sSubSup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  </m:t>
        </m:r>
        <m:r>
          <m:rPr>
            <m:sty m:val="p"/>
          </m:rPr>
          <w:rPr>
            <w:rFonts w:asciiTheme="majorHAnsi" w:hAnsiTheme="majorHAnsi"/>
          </w:rPr>
          <m:t>⇌</m:t>
        </m:r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 </m:t>
        </m:r>
        <m:sSub>
          <m:sSubPr>
            <m:ctrlPr>
              <w:rPr>
                <w:rFonts w:ascii="Cambria Math" w:hAnsiTheme="majorHAnsi" w:cs="ArialMT"/>
                <w:color w:val="C00000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ajorHAnsi" w:cs="ArialMT"/>
                    <w:color w:val="C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HAnsi" w:cs="ArialMT"/>
                    <w:color w:val="C00000"/>
                  </w:rPr>
                  <m:t>Fe</m:t>
                </m:r>
                <m:sSub>
                  <m:sSubPr>
                    <m:ctrlPr>
                      <w:rPr>
                        <w:rFonts w:ascii="Cambria Math" w:hAnsiTheme="majorHAnsi" w:cs="ArialMT"/>
                        <w:color w:val="C00000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Theme="majorHAnsi" w:cs="ArialMT"/>
                            <w:color w:val="C0000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 w:cs="ArialMT"/>
                                <w:color w:val="C0000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rialMT"/>
                                <w:color w:val="C00000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rialMT"/>
                                <w:color w:val="C00000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Theme="majorHAnsi" w:cs="ArialMT"/>
                            <w:color w:val="C00000"/>
                          </w:rPr>
                          <m:t>O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ArialMT"/>
                        <w:color w:val="C00000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HAnsi" w:cs="ArialMT"/>
                        <w:color w:val="C00000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Theme="majorHAnsi" w:cs="ArialMT"/>
                            <w:color w:val="C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 w:cs="ArialMT"/>
                            <w:color w:val="C00000"/>
                          </w:rPr>
                          <m:t>SCN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ArialMT"/>
                        <w:color w:val="C00000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C00000"/>
              </w:rPr>
              <m:t>(aq)</m:t>
            </m:r>
          </m:sub>
        </m:sSub>
        <m:r>
          <m:rPr>
            <m:sty m:val="p"/>
          </m:rPr>
          <w:rPr>
            <w:rFonts w:ascii="Cambria Math" w:hAnsiTheme="majorHAnsi" w:cs="ArialMT"/>
            <w:color w:val="auto"/>
          </w:rPr>
          <m:t xml:space="preserve">+ 3 </m:t>
        </m:r>
        <m:sSub>
          <m:sSubPr>
            <m:ctrlPr>
              <w:rPr>
                <w:rFonts w:ascii="Cambria Math" w:hAnsiTheme="majorHAnsi" w:cs="ArialMT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2</m:t>
            </m:r>
          </m:sub>
        </m:sSub>
        <m:sSub>
          <m:sSubPr>
            <m:ctrlPr>
              <w:rPr>
                <w:rFonts w:ascii="Cambria Math" w:hAnsiTheme="majorHAnsi" w:cs="ArialMT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Theme="majorHAnsi" w:cs="ArialMT"/>
                <w:color w:val="auto"/>
              </w:rPr>
              <m:t>(l)</m:t>
            </m:r>
          </m:sub>
        </m:sSub>
      </m:oMath>
    </w:p>
    <w:p w:rsidR="00CA2A80" w:rsidRPr="00CA2A80" w:rsidRDefault="00CA2A80" w:rsidP="00CA2A80">
      <w:pPr>
        <w:autoSpaceDE w:val="0"/>
        <w:autoSpaceDN w:val="0"/>
        <w:adjustRightInd w:val="0"/>
        <w:spacing w:after="0"/>
        <w:ind w:left="2126" w:hanging="2124"/>
        <w:rPr>
          <w:rFonts w:asciiTheme="majorHAnsi" w:eastAsiaTheme="minorEastAsia" w:hAnsiTheme="majorHAnsi" w:cs="ArialMT"/>
          <w:color w:val="auto"/>
        </w:rPr>
      </w:pPr>
    </w:p>
    <w:p w:rsidR="00CA2A80" w:rsidRPr="00CA2A80" w:rsidRDefault="00CA2A80" w:rsidP="00CA2A80">
      <w:pPr>
        <w:autoSpaceDE w:val="0"/>
        <w:autoSpaceDN w:val="0"/>
        <w:adjustRightInd w:val="0"/>
        <w:spacing w:after="0"/>
        <w:ind w:left="2126" w:firstLine="3"/>
        <w:rPr>
          <w:rFonts w:asciiTheme="majorHAnsi" w:eastAsiaTheme="minorEastAsia" w:hAnsiTheme="majorHAnsi" w:cs="ArialMT"/>
          <w:color w:val="auto"/>
        </w:rPr>
      </w:pPr>
      <w:r w:rsidRPr="00CA2A80">
        <w:rPr>
          <w:rFonts w:asciiTheme="majorHAnsi" w:eastAsiaTheme="minorEastAsia" w:hAnsiTheme="majorHAnsi" w:cs="ArialMT"/>
          <w:color w:val="auto"/>
        </w:rPr>
        <w:t xml:space="preserve">Gibt man nun </w:t>
      </w:r>
      <w:proofErr w:type="spellStart"/>
      <w:r w:rsidR="002946FC">
        <w:rPr>
          <w:rFonts w:asciiTheme="majorHAnsi" w:eastAsiaTheme="minorEastAsia" w:hAnsiTheme="majorHAnsi" w:cs="ArialMT"/>
          <w:color w:val="auto"/>
        </w:rPr>
        <w:t>Thiocyanat</w:t>
      </w:r>
      <w:proofErr w:type="spellEnd"/>
      <w:r w:rsidR="002946FC">
        <w:rPr>
          <w:rFonts w:asciiTheme="majorHAnsi" w:eastAsiaTheme="minorEastAsia" w:hAnsiTheme="majorHAnsi" w:cs="ArialMT"/>
          <w:color w:val="auto"/>
        </w:rPr>
        <w:t xml:space="preserve">-Ionen in Form von </w:t>
      </w:r>
      <w:proofErr w:type="spellStart"/>
      <w:r w:rsidRPr="00CA2A80">
        <w:rPr>
          <w:rFonts w:asciiTheme="majorHAnsi" w:eastAsiaTheme="minorEastAsia" w:hAnsiTheme="majorHAnsi" w:cs="ArialMT"/>
          <w:color w:val="auto"/>
        </w:rPr>
        <w:t>Ammoniumthiocyanat</w:t>
      </w:r>
      <w:proofErr w:type="spellEnd"/>
      <w:r w:rsidRPr="00CA2A80">
        <w:rPr>
          <w:rFonts w:asciiTheme="majorHAnsi" w:eastAsiaTheme="minorEastAsia" w:hAnsiTheme="majorHAnsi" w:cs="ArialMT"/>
          <w:color w:val="auto"/>
        </w:rPr>
        <w:t>-Lösung hinzu, so verschiebt sich das Gleichgewicht auf die Seite der Pr</w:t>
      </w:r>
      <w:r w:rsidRPr="00CA2A80">
        <w:rPr>
          <w:rFonts w:asciiTheme="majorHAnsi" w:eastAsiaTheme="minorEastAsia" w:hAnsiTheme="majorHAnsi" w:cs="ArialMT"/>
          <w:color w:val="auto"/>
        </w:rPr>
        <w:t>o</w:t>
      </w:r>
      <w:r w:rsidRPr="00CA2A80">
        <w:rPr>
          <w:rFonts w:asciiTheme="majorHAnsi" w:eastAsiaTheme="minorEastAsia" w:hAnsiTheme="majorHAnsi" w:cs="ArialMT"/>
          <w:color w:val="auto"/>
        </w:rPr>
        <w:t xml:space="preserve">dukte und es bildet sich der rote </w:t>
      </w:r>
      <w:proofErr w:type="spellStart"/>
      <w:r w:rsidRPr="00CA2A80">
        <w:rPr>
          <w:rFonts w:asciiTheme="majorHAnsi" w:eastAsiaTheme="minorEastAsia" w:hAnsiTheme="majorHAnsi" w:cs="ArialMT"/>
          <w:color w:val="auto"/>
        </w:rPr>
        <w:t>Eisenthiocyanatkomplex</w:t>
      </w:r>
      <w:proofErr w:type="spellEnd"/>
      <w:r w:rsidRPr="00CA2A80">
        <w:rPr>
          <w:rFonts w:asciiTheme="majorHAnsi" w:eastAsiaTheme="minorEastAsia" w:hAnsiTheme="majorHAnsi" w:cs="ArialMT"/>
          <w:color w:val="auto"/>
        </w:rPr>
        <w:t>.</w:t>
      </w:r>
      <w:r w:rsidR="007D2B9C">
        <w:rPr>
          <w:rFonts w:asciiTheme="majorHAnsi" w:eastAsiaTheme="minorEastAsia" w:hAnsiTheme="majorHAnsi" w:cs="ArialMT"/>
          <w:color w:val="auto"/>
        </w:rPr>
        <w:t xml:space="preserve"> Es findet schrittweise ein </w:t>
      </w:r>
      <w:proofErr w:type="spellStart"/>
      <w:r w:rsidR="007D2B9C">
        <w:rPr>
          <w:rFonts w:asciiTheme="majorHAnsi" w:eastAsiaTheme="minorEastAsia" w:hAnsiTheme="majorHAnsi" w:cs="ArialMT"/>
          <w:color w:val="auto"/>
        </w:rPr>
        <w:t>Ligandenaustausch</w:t>
      </w:r>
      <w:proofErr w:type="spellEnd"/>
      <w:r w:rsidR="007D2B9C">
        <w:rPr>
          <w:rFonts w:asciiTheme="majorHAnsi" w:eastAsiaTheme="minorEastAsia" w:hAnsiTheme="majorHAnsi" w:cs="ArialMT"/>
          <w:color w:val="auto"/>
        </w:rPr>
        <w:t xml:space="preserve"> zwischen Wassermolekülen und </w:t>
      </w:r>
      <w:proofErr w:type="spellStart"/>
      <w:r w:rsidR="007D2B9C">
        <w:rPr>
          <w:rFonts w:asciiTheme="majorHAnsi" w:eastAsiaTheme="minorEastAsia" w:hAnsiTheme="majorHAnsi" w:cs="ArialMT"/>
          <w:color w:val="auto"/>
        </w:rPr>
        <w:t>Thiocyanat</w:t>
      </w:r>
      <w:proofErr w:type="spellEnd"/>
      <w:r w:rsidR="007D2B9C">
        <w:rPr>
          <w:rFonts w:asciiTheme="majorHAnsi" w:eastAsiaTheme="minorEastAsia" w:hAnsiTheme="majorHAnsi" w:cs="ArialMT"/>
          <w:color w:val="auto"/>
        </w:rPr>
        <w:t>-Ionen statt.</w:t>
      </w:r>
      <w:r w:rsidRPr="00CA2A80">
        <w:rPr>
          <w:rFonts w:asciiTheme="majorHAnsi" w:eastAsiaTheme="minorEastAsia" w:hAnsiTheme="majorHAnsi" w:cs="ArialMT"/>
          <w:color w:val="auto"/>
        </w:rPr>
        <w:t xml:space="preserve"> Bei Zugabe von Wasser (Zugabe an Produkt) ve</w:t>
      </w:r>
      <w:r w:rsidRPr="00CA2A80">
        <w:rPr>
          <w:rFonts w:asciiTheme="majorHAnsi" w:eastAsiaTheme="minorEastAsia" w:hAnsiTheme="majorHAnsi" w:cs="ArialMT"/>
          <w:color w:val="auto"/>
        </w:rPr>
        <w:t>r</w:t>
      </w:r>
      <w:r w:rsidRPr="00CA2A80">
        <w:rPr>
          <w:rFonts w:asciiTheme="majorHAnsi" w:eastAsiaTheme="minorEastAsia" w:hAnsiTheme="majorHAnsi" w:cs="ArialMT"/>
          <w:color w:val="auto"/>
        </w:rPr>
        <w:t>schiebt sich das Gleichgewicht laut Le</w:t>
      </w:r>
      <w:r w:rsidR="00E90DDC">
        <w:rPr>
          <w:rFonts w:asciiTheme="majorHAnsi" w:eastAsiaTheme="minorEastAsia" w:hAnsiTheme="majorHAnsi" w:cs="ArialMT"/>
          <w:color w:val="auto"/>
        </w:rPr>
        <w:t xml:space="preserve"> </w:t>
      </w:r>
      <w:proofErr w:type="spellStart"/>
      <w:r w:rsidRPr="00CA2A80">
        <w:rPr>
          <w:rFonts w:asciiTheme="majorHAnsi" w:eastAsiaTheme="minorEastAsia" w:hAnsiTheme="majorHAnsi" w:cs="ArialMT"/>
          <w:color w:val="auto"/>
        </w:rPr>
        <w:t>Chatelier</w:t>
      </w:r>
      <w:proofErr w:type="spellEnd"/>
      <w:r w:rsidRPr="00CA2A80">
        <w:rPr>
          <w:rFonts w:asciiTheme="majorHAnsi" w:eastAsiaTheme="minorEastAsia" w:hAnsiTheme="majorHAnsi" w:cs="ArialMT"/>
          <w:color w:val="auto"/>
        </w:rPr>
        <w:t xml:space="preserve"> wieder auf die Seite der Edukte. Bei erneuter Zugabe von Edukten (</w:t>
      </w:r>
      <w:r w:rsidRPr="00CA2A80">
        <w:rPr>
          <w:rFonts w:asciiTheme="majorHAnsi" w:hAnsiTheme="majorHAnsi" w:cs="ArialMT"/>
          <w:color w:val="auto"/>
        </w:rPr>
        <w:t>Eisen(III)-</w:t>
      </w:r>
      <w:proofErr w:type="spellStart"/>
      <w:r w:rsidRPr="00CA2A80">
        <w:rPr>
          <w:rFonts w:asciiTheme="majorHAnsi" w:hAnsiTheme="majorHAnsi" w:cs="ArialMT"/>
          <w:color w:val="auto"/>
        </w:rPr>
        <w:t>nitrat</w:t>
      </w:r>
      <w:proofErr w:type="spellEnd"/>
      <w:r w:rsidRPr="00CA2A80">
        <w:rPr>
          <w:rFonts w:asciiTheme="majorHAnsi" w:hAnsiTheme="majorHAnsi" w:cs="ArialMT"/>
          <w:color w:val="auto"/>
        </w:rPr>
        <w:t xml:space="preserve">- und </w:t>
      </w:r>
      <w:proofErr w:type="spellStart"/>
      <w:r w:rsidRPr="00CA2A80">
        <w:rPr>
          <w:rFonts w:asciiTheme="majorHAnsi" w:hAnsiTheme="majorHAnsi" w:cs="ArialMT"/>
          <w:color w:val="auto"/>
        </w:rPr>
        <w:t>Ammoniumthiocyanat</w:t>
      </w:r>
      <w:proofErr w:type="spellEnd"/>
      <w:r w:rsidRPr="00CA2A80">
        <w:rPr>
          <w:rFonts w:asciiTheme="majorHAnsi" w:hAnsiTheme="majorHAnsi" w:cs="ArialMT"/>
          <w:color w:val="auto"/>
        </w:rPr>
        <w:t>-Lösung) bildet sich wieder der blutrote Komplex.</w:t>
      </w:r>
      <w:r w:rsidR="007D2B9C">
        <w:rPr>
          <w:rFonts w:asciiTheme="majorHAnsi" w:hAnsiTheme="majorHAnsi" w:cs="ArialMT"/>
          <w:color w:val="auto"/>
        </w:rPr>
        <w:t xml:space="preserve"> </w:t>
      </w:r>
    </w:p>
    <w:p w:rsidR="00CA2A80" w:rsidRDefault="00CA2A80" w:rsidP="00427158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Theme="majorHAnsi" w:eastAsiaTheme="minorEastAsia" w:hAnsiTheme="majorHAnsi" w:cs="ArialMT"/>
          <w:color w:val="auto"/>
          <w:sz w:val="28"/>
        </w:rPr>
      </w:pPr>
    </w:p>
    <w:p w:rsidR="00427158" w:rsidRPr="009F1519" w:rsidRDefault="00427158" w:rsidP="00427158">
      <w:pPr>
        <w:autoSpaceDE w:val="0"/>
        <w:autoSpaceDN w:val="0"/>
        <w:adjustRightInd w:val="0"/>
        <w:spacing w:after="0" w:line="240" w:lineRule="auto"/>
        <w:ind w:left="2124" w:hanging="2124"/>
        <w:rPr>
          <w:rFonts w:eastAsiaTheme="minorEastAsia"/>
          <w:color w:val="000000" w:themeColor="text1"/>
        </w:rPr>
      </w:pPr>
    </w:p>
    <w:p w:rsidR="00216E3C" w:rsidRPr="009F1519" w:rsidRDefault="0009104F" w:rsidP="00FE71AC">
      <w:pPr>
        <w:ind w:left="2124" w:hanging="2124"/>
        <w:rPr>
          <w:color w:val="000000" w:themeColor="text1"/>
        </w:rPr>
      </w:pPr>
      <w:r w:rsidRPr="009F1519">
        <w:rPr>
          <w:color w:val="000000" w:themeColor="text1"/>
        </w:rPr>
        <w:t>Entsorgung:</w:t>
      </w:r>
      <w:r w:rsidRPr="009F1519">
        <w:rPr>
          <w:color w:val="000000" w:themeColor="text1"/>
        </w:rPr>
        <w:tab/>
      </w:r>
      <w:r w:rsidR="00E90DDC">
        <w:rPr>
          <w:color w:val="000000" w:themeColor="text1"/>
        </w:rPr>
        <w:t xml:space="preserve">Die Lösungen werden in den </w:t>
      </w:r>
      <w:r w:rsidR="007D2B9C">
        <w:rPr>
          <w:color w:val="000000" w:themeColor="text1"/>
        </w:rPr>
        <w:t>Schwermetallbehälter</w:t>
      </w:r>
      <w:r w:rsidR="00E90DDC">
        <w:rPr>
          <w:color w:val="000000" w:themeColor="text1"/>
        </w:rPr>
        <w:t xml:space="preserve"> gegeben.</w:t>
      </w:r>
    </w:p>
    <w:p w:rsidR="005B60E3" w:rsidRPr="009F1519" w:rsidRDefault="00F17765" w:rsidP="009F1519">
      <w:pPr>
        <w:spacing w:line="276" w:lineRule="auto"/>
        <w:jc w:val="left"/>
        <w:rPr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</w:r>
      <w:r w:rsidR="009F1519" w:rsidRPr="009F1519">
        <w:rPr>
          <w:color w:val="000000" w:themeColor="text1"/>
        </w:rPr>
        <w:t>Nach:</w:t>
      </w:r>
    </w:p>
    <w:p w:rsidR="009F1519" w:rsidRDefault="0062358D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  <w:r>
        <w:rPr>
          <w:rFonts w:cs="Cambria"/>
          <w:color w:val="000000" w:themeColor="text1"/>
        </w:rPr>
        <w:t xml:space="preserve">P. </w:t>
      </w:r>
      <w:proofErr w:type="spellStart"/>
      <w:r>
        <w:rPr>
          <w:rFonts w:cs="Cambria"/>
          <w:color w:val="000000" w:themeColor="text1"/>
        </w:rPr>
        <w:t>Kaeser</w:t>
      </w:r>
      <w:proofErr w:type="spellEnd"/>
      <w:r w:rsidR="009F1519" w:rsidRPr="009F1519">
        <w:rPr>
          <w:rFonts w:cs="Cambria"/>
          <w:color w:val="000000" w:themeColor="text1"/>
        </w:rPr>
        <w:t>,</w:t>
      </w:r>
      <w:r w:rsidR="00877AC3">
        <w:rPr>
          <w:rFonts w:cs="Cambria"/>
          <w:color w:val="000000" w:themeColor="text1"/>
        </w:rPr>
        <w:t xml:space="preserve"> </w:t>
      </w:r>
      <w:r w:rsidR="00877AC3" w:rsidRPr="00877AC3">
        <w:t>http://www.educ.ethz.ch/unt/um/che/rdg/beeinflussung _</w:t>
      </w:r>
      <w:proofErr w:type="spellStart"/>
      <w:r w:rsidR="00877AC3" w:rsidRPr="00877AC3">
        <w:t>gleichgewicht</w:t>
      </w:r>
      <w:proofErr w:type="spellEnd"/>
      <w:r w:rsidR="00877AC3" w:rsidRPr="00877AC3">
        <w:t>/Gleichgewicht-Leitprogramm.docx</w:t>
      </w:r>
      <w:r w:rsidR="009F1519" w:rsidRPr="009F1519">
        <w:rPr>
          <w:rFonts w:cs="Cambria"/>
          <w:color w:val="000000" w:themeColor="text1"/>
        </w:rPr>
        <w:t xml:space="preserve">, </w:t>
      </w:r>
      <w:r w:rsidR="00877AC3">
        <w:rPr>
          <w:rFonts w:cs="Cambria"/>
          <w:color w:val="000000" w:themeColor="text1"/>
        </w:rPr>
        <w:t>Mai 2010</w:t>
      </w:r>
      <w:r w:rsidR="009F1519" w:rsidRPr="009F1519">
        <w:rPr>
          <w:rFonts w:cs="Cambria"/>
          <w:color w:val="000000" w:themeColor="text1"/>
        </w:rPr>
        <w:t xml:space="preserve"> (Zuletzt a</w:t>
      </w:r>
      <w:r w:rsidR="009F1519" w:rsidRPr="009F1519">
        <w:rPr>
          <w:rFonts w:cs="Cambria"/>
          <w:color w:val="000000" w:themeColor="text1"/>
        </w:rPr>
        <w:t>b</w:t>
      </w:r>
      <w:r w:rsidR="009F1519" w:rsidRPr="009F1519">
        <w:rPr>
          <w:rFonts w:cs="Cambria"/>
          <w:color w:val="000000" w:themeColor="text1"/>
        </w:rPr>
        <w:t xml:space="preserve">gerufen am </w:t>
      </w:r>
      <w:r w:rsidR="007D2B9C">
        <w:rPr>
          <w:rFonts w:cs="Cambria"/>
          <w:color w:val="000000" w:themeColor="text1"/>
        </w:rPr>
        <w:t>13</w:t>
      </w:r>
      <w:r w:rsidR="009F1519" w:rsidRPr="009F1519">
        <w:rPr>
          <w:rFonts w:cs="Cambria"/>
          <w:color w:val="000000" w:themeColor="text1"/>
        </w:rPr>
        <w:t xml:space="preserve">.08.2015 um </w:t>
      </w:r>
      <w:r>
        <w:rPr>
          <w:rFonts w:cs="Cambria"/>
          <w:color w:val="000000" w:themeColor="text1"/>
        </w:rPr>
        <w:t>23</w:t>
      </w:r>
      <w:r w:rsidR="009F1519" w:rsidRPr="009F1519">
        <w:rPr>
          <w:rFonts w:cs="Cambria"/>
          <w:color w:val="000000" w:themeColor="text1"/>
        </w:rPr>
        <w:t>:</w:t>
      </w:r>
      <w:r>
        <w:rPr>
          <w:rFonts w:cs="Cambria"/>
          <w:color w:val="000000" w:themeColor="text1"/>
        </w:rPr>
        <w:t>2</w:t>
      </w:r>
      <w:r w:rsidR="009F1519" w:rsidRPr="009F1519">
        <w:rPr>
          <w:rFonts w:cs="Cambria"/>
          <w:color w:val="000000" w:themeColor="text1"/>
        </w:rPr>
        <w:t>0 Uhr).</w:t>
      </w:r>
    </w:p>
    <w:p w:rsidR="007D2B9C" w:rsidRDefault="007D2B9C" w:rsidP="009F1519">
      <w:pPr>
        <w:autoSpaceDE w:val="0"/>
        <w:autoSpaceDN w:val="0"/>
        <w:adjustRightInd w:val="0"/>
        <w:spacing w:after="0"/>
        <w:ind w:left="2126" w:firstLine="6"/>
        <w:jc w:val="left"/>
        <w:rPr>
          <w:rFonts w:cs="Cambria"/>
          <w:color w:val="000000" w:themeColor="text1"/>
        </w:rPr>
      </w:pPr>
    </w:p>
    <w:p w:rsidR="009F1519" w:rsidRPr="009F1519" w:rsidRDefault="009F1519" w:rsidP="009F1519">
      <w:pPr>
        <w:autoSpaceDE w:val="0"/>
        <w:autoSpaceDN w:val="0"/>
        <w:adjustRightInd w:val="0"/>
        <w:spacing w:after="0"/>
        <w:jc w:val="left"/>
        <w:rPr>
          <w:rFonts w:asciiTheme="majorHAnsi" w:hAnsiTheme="majorHAnsi"/>
          <w:color w:val="000000" w:themeColor="text1"/>
        </w:rPr>
      </w:pPr>
    </w:p>
    <w:sectPr w:rsidR="009F1519" w:rsidRPr="009F151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44" w:rsidRDefault="00273B44" w:rsidP="0086227B">
      <w:pPr>
        <w:spacing w:after="0" w:line="240" w:lineRule="auto"/>
      </w:pPr>
      <w:r>
        <w:separator/>
      </w:r>
    </w:p>
  </w:endnote>
  <w:endnote w:type="continuationSeparator" w:id="0">
    <w:p w:rsidR="00273B44" w:rsidRDefault="00273B4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44" w:rsidRDefault="00273B44" w:rsidP="0086227B">
      <w:pPr>
        <w:spacing w:after="0" w:line="240" w:lineRule="auto"/>
      </w:pPr>
      <w:r>
        <w:separator/>
      </w:r>
    </w:p>
  </w:footnote>
  <w:footnote w:type="continuationSeparator" w:id="0">
    <w:p w:rsidR="00273B44" w:rsidRDefault="00273B44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5544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73B44"/>
    <w:rsid w:val="0028080E"/>
    <w:rsid w:val="0028646F"/>
    <w:rsid w:val="00294016"/>
    <w:rsid w:val="002944CF"/>
    <w:rsid w:val="002946FC"/>
    <w:rsid w:val="002A53BE"/>
    <w:rsid w:val="002A716F"/>
    <w:rsid w:val="002A7855"/>
    <w:rsid w:val="002B0B14"/>
    <w:rsid w:val="002C4B67"/>
    <w:rsid w:val="002D2C89"/>
    <w:rsid w:val="002E026F"/>
    <w:rsid w:val="002E0F34"/>
    <w:rsid w:val="002E2DD3"/>
    <w:rsid w:val="002E38A0"/>
    <w:rsid w:val="002E5FCC"/>
    <w:rsid w:val="002F245A"/>
    <w:rsid w:val="002F25D2"/>
    <w:rsid w:val="002F38EE"/>
    <w:rsid w:val="00332E07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3F0E9D"/>
    <w:rsid w:val="00401750"/>
    <w:rsid w:val="00401CFE"/>
    <w:rsid w:val="00401EBE"/>
    <w:rsid w:val="004039F1"/>
    <w:rsid w:val="004102B8"/>
    <w:rsid w:val="0041565C"/>
    <w:rsid w:val="00427158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358D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6F5D0D"/>
    <w:rsid w:val="0070473A"/>
    <w:rsid w:val="00707392"/>
    <w:rsid w:val="00713350"/>
    <w:rsid w:val="0072123D"/>
    <w:rsid w:val="007271A9"/>
    <w:rsid w:val="00746773"/>
    <w:rsid w:val="00750830"/>
    <w:rsid w:val="00775EEC"/>
    <w:rsid w:val="0078071E"/>
    <w:rsid w:val="007858D5"/>
    <w:rsid w:val="00790D3B"/>
    <w:rsid w:val="007A7FA8"/>
    <w:rsid w:val="007D2B9C"/>
    <w:rsid w:val="007E586C"/>
    <w:rsid w:val="007E5C46"/>
    <w:rsid w:val="007E7412"/>
    <w:rsid w:val="007F2348"/>
    <w:rsid w:val="007F3646"/>
    <w:rsid w:val="00801678"/>
    <w:rsid w:val="008042F5"/>
    <w:rsid w:val="00815FB9"/>
    <w:rsid w:val="0082230A"/>
    <w:rsid w:val="00837114"/>
    <w:rsid w:val="0086227B"/>
    <w:rsid w:val="008664DF"/>
    <w:rsid w:val="00875E5B"/>
    <w:rsid w:val="00877AC3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65F5C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22E9"/>
    <w:rsid w:val="009F49D0"/>
    <w:rsid w:val="009F5A39"/>
    <w:rsid w:val="009F61D4"/>
    <w:rsid w:val="009F66D3"/>
    <w:rsid w:val="00A006C3"/>
    <w:rsid w:val="00A012CE"/>
    <w:rsid w:val="00A0582F"/>
    <w:rsid w:val="00A05C2F"/>
    <w:rsid w:val="00A14261"/>
    <w:rsid w:val="00A2136F"/>
    <w:rsid w:val="00A2301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B4DF0"/>
    <w:rsid w:val="00AD0C24"/>
    <w:rsid w:val="00AD7D1F"/>
    <w:rsid w:val="00AE1230"/>
    <w:rsid w:val="00AE3A40"/>
    <w:rsid w:val="00B02829"/>
    <w:rsid w:val="00B20171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497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80C0B"/>
    <w:rsid w:val="00CA2A80"/>
    <w:rsid w:val="00CA2D70"/>
    <w:rsid w:val="00CA6231"/>
    <w:rsid w:val="00CB2161"/>
    <w:rsid w:val="00CE1F14"/>
    <w:rsid w:val="00CF0B61"/>
    <w:rsid w:val="00CF79FE"/>
    <w:rsid w:val="00D055B2"/>
    <w:rsid w:val="00D069A2"/>
    <w:rsid w:val="00D1194E"/>
    <w:rsid w:val="00D14C47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235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87B88"/>
    <w:rsid w:val="00E90DDC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HTMLZitat">
    <w:name w:val="HTML Cite"/>
    <w:basedOn w:val="Absatz-Standardschriftart"/>
    <w:uiPriority w:val="99"/>
    <w:semiHidden/>
    <w:unhideWhenUsed/>
    <w:rsid w:val="00623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47E66F7E-62AD-4D54-AF76-7C1444C7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23</cp:revision>
  <cp:lastPrinted>2015-08-10T22:05:00Z</cp:lastPrinted>
  <dcterms:created xsi:type="dcterms:W3CDTF">2015-07-28T08:50:00Z</dcterms:created>
  <dcterms:modified xsi:type="dcterms:W3CDTF">2015-08-28T11:13:00Z</dcterms:modified>
</cp:coreProperties>
</file>