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71" w:rsidRPr="009701C8" w:rsidRDefault="00322171" w:rsidP="00322171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>Arbeitsblatt – Vergleich eines Lithium-Ionen-Akkus mit einem Blei-Akku</w:t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4F10632F" wp14:editId="42B9DDDD">
            <wp:simplePos x="0" y="0"/>
            <wp:positionH relativeFrom="column">
              <wp:posOffset>2373630</wp:posOffset>
            </wp:positionH>
            <wp:positionV relativeFrom="paragraph">
              <wp:posOffset>633095</wp:posOffset>
            </wp:positionV>
            <wp:extent cx="4008120" cy="2423795"/>
            <wp:effectExtent l="0" t="0" r="0" b="0"/>
            <wp:wrapTight wrapText="bothSides">
              <wp:wrapPolygon edited="0">
                <wp:start x="0" y="0"/>
                <wp:lineTo x="0" y="21391"/>
                <wp:lineTo x="21456" y="21391"/>
                <wp:lineTo x="21456" y="0"/>
                <wp:lineTo x="0" y="0"/>
              </wp:wrapPolygon>
            </wp:wrapTight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2171" w:rsidRDefault="00322171" w:rsidP="00322171">
      <w:pPr>
        <w:keepNext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F812E51" wp14:editId="49DABAC2">
            <wp:simplePos x="0" y="0"/>
            <wp:positionH relativeFrom="column">
              <wp:posOffset>-114935</wp:posOffset>
            </wp:positionH>
            <wp:positionV relativeFrom="paragraph">
              <wp:posOffset>15240</wp:posOffset>
            </wp:positionV>
            <wp:extent cx="2121535" cy="2035810"/>
            <wp:effectExtent l="0" t="0" r="0" b="2540"/>
            <wp:wrapTight wrapText="bothSides">
              <wp:wrapPolygon edited="0">
                <wp:start x="0" y="0"/>
                <wp:lineTo x="0" y="8489"/>
                <wp:lineTo x="4655" y="9702"/>
                <wp:lineTo x="1164" y="11117"/>
                <wp:lineTo x="1940" y="12936"/>
                <wp:lineTo x="2133" y="21425"/>
                <wp:lineTo x="20559" y="21425"/>
                <wp:lineTo x="20559" y="12936"/>
                <wp:lineTo x="21335" y="11117"/>
                <wp:lineTo x="21141" y="10915"/>
                <wp:lineTo x="17068" y="9702"/>
                <wp:lineTo x="21335" y="8489"/>
                <wp:lineTo x="21335" y="1213"/>
                <wp:lineTo x="2327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ei-Akk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2171" w:rsidRDefault="00322171" w:rsidP="00322171">
      <w:pPr>
        <w:pStyle w:val="Beschriftung"/>
      </w:pPr>
    </w:p>
    <w:p w:rsidR="00322171" w:rsidRDefault="00322171" w:rsidP="0032217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B7C84" wp14:editId="7024BE33">
                <wp:simplePos x="0" y="0"/>
                <wp:positionH relativeFrom="column">
                  <wp:posOffset>2811145</wp:posOffset>
                </wp:positionH>
                <wp:positionV relativeFrom="paragraph">
                  <wp:posOffset>374015</wp:posOffset>
                </wp:positionV>
                <wp:extent cx="3217545" cy="394970"/>
                <wp:effectExtent l="0" t="0" r="1905" b="5080"/>
                <wp:wrapTight wrapText="bothSides">
                  <wp:wrapPolygon edited="0">
                    <wp:start x="0" y="0"/>
                    <wp:lineTo x="0" y="20836"/>
                    <wp:lineTo x="21485" y="20836"/>
                    <wp:lineTo x="21485" y="0"/>
                    <wp:lineTo x="0" y="0"/>
                  </wp:wrapPolygon>
                </wp:wrapTight>
                <wp:docPr id="39" name="Textfeld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7545" cy="3949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2171" w:rsidRPr="005905F5" w:rsidRDefault="00322171" w:rsidP="00322171">
                            <w:pPr>
                              <w:pStyle w:val="Beschriftung"/>
                              <w:rPr>
                                <w:noProof/>
                                <w:color w:val="171717" w:themeColor="background2" w:themeShade="1A"/>
                              </w:rPr>
                            </w:pPr>
                            <w:r>
                              <w:t xml:space="preserve">Abbildung 2: </w:t>
                            </w:r>
                            <w:proofErr w:type="spellStart"/>
                            <w:r>
                              <w:t>Aufgenomme</w:t>
                            </w:r>
                            <w:proofErr w:type="spellEnd"/>
                            <w:r>
                              <w:t xml:space="preserve"> Entladekurve eines Blei- und Lithium-Ionen-Akku, der 3 Minuten bei 4,5 V aufgeladen wurde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B7C84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left:0;text-align:left;margin-left:221.35pt;margin-top:29.45pt;width:253.35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" stroked="f">
                <v:path arrowok="t"/>
                <v:textbox style="mso-fit-shape-to-text:t" inset="0,0,0,0">
                  <w:txbxContent>
                    <w:p w:rsidR="00322171" w:rsidRPr="005905F5" w:rsidRDefault="00322171" w:rsidP="00322171">
                      <w:pPr>
                        <w:pStyle w:val="Beschriftung"/>
                        <w:rPr>
                          <w:noProof/>
                          <w:color w:val="171717" w:themeColor="background2" w:themeShade="1A"/>
                        </w:rPr>
                      </w:pPr>
                      <w:r>
                        <w:t xml:space="preserve">Abbildung 2: </w:t>
                      </w:r>
                      <w:proofErr w:type="spellStart"/>
                      <w:r>
                        <w:t>Aufgenomme</w:t>
                      </w:r>
                      <w:proofErr w:type="spellEnd"/>
                      <w:r>
                        <w:t xml:space="preserve"> Entladekurve eines Blei- und Lithium-Ionen-Akku, der 3 Minuten bei 4,5 V aufgeladen wurde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19A18" wp14:editId="6EA17663">
                <wp:simplePos x="0" y="0"/>
                <wp:positionH relativeFrom="column">
                  <wp:posOffset>-106680</wp:posOffset>
                </wp:positionH>
                <wp:positionV relativeFrom="paragraph">
                  <wp:posOffset>374015</wp:posOffset>
                </wp:positionV>
                <wp:extent cx="2371725" cy="394970"/>
                <wp:effectExtent l="0" t="0" r="9525" b="5080"/>
                <wp:wrapTight wrapText="bothSides">
                  <wp:wrapPolygon edited="0">
                    <wp:start x="0" y="0"/>
                    <wp:lineTo x="0" y="20836"/>
                    <wp:lineTo x="21513" y="20836"/>
                    <wp:lineTo x="21513" y="0"/>
                    <wp:lineTo x="0" y="0"/>
                  </wp:wrapPolygon>
                </wp:wrapTight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3949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2171" w:rsidRPr="00155907" w:rsidRDefault="00322171" w:rsidP="00322171">
                            <w:pPr>
                              <w:pStyle w:val="Beschriftung"/>
                              <w:rPr>
                                <w:noProof/>
                                <w:color w:val="171717" w:themeColor="background2" w:themeShade="1A"/>
                              </w:rPr>
                            </w:pPr>
                            <w:r>
                              <w:t xml:space="preserve">Abbildung 1: </w:t>
                            </w:r>
                            <w:r w:rsidRPr="00B14EFD">
                              <w:t>Schematischer Aufbau eines Blei-Akkus und Betrachtung der Teilchen</w:t>
                            </w:r>
                            <w:r>
                              <w:t>e</w:t>
                            </w:r>
                            <w:r w:rsidRPr="00B14EFD">
                              <w:t>bene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19A18" id="Textfeld 38" o:spid="_x0000_s1027" type="#_x0000_t202" style="position:absolute;left:0;text-align:left;margin-left:-8.4pt;margin-top:29.45pt;width:186.75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" stroked="f">
                <v:path arrowok="t"/>
                <v:textbox inset="0,0,0,0">
                  <w:txbxContent>
                    <w:p w:rsidR="00322171" w:rsidRPr="00155907" w:rsidRDefault="00322171" w:rsidP="00322171">
                      <w:pPr>
                        <w:pStyle w:val="Beschriftung"/>
                        <w:rPr>
                          <w:noProof/>
                          <w:color w:val="171717" w:themeColor="background2" w:themeShade="1A"/>
                        </w:rPr>
                      </w:pPr>
                      <w:r>
                        <w:t xml:space="preserve">Abbildung 1: </w:t>
                      </w:r>
                      <w:r w:rsidRPr="00B14EFD">
                        <w:t>Schematischer Aufbau eines Blei-Akkus und Betrachtung der Teilchen</w:t>
                      </w:r>
                      <w:r>
                        <w:t>e</w:t>
                      </w:r>
                      <w:r w:rsidRPr="00B14EFD">
                        <w:t>bene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22171" w:rsidRDefault="00322171" w:rsidP="00322171"/>
    <w:p w:rsidR="00322171" w:rsidRDefault="00322171" w:rsidP="00322171"/>
    <w:p w:rsidR="00322171" w:rsidRDefault="00322171" w:rsidP="00322171">
      <w:r>
        <w:t xml:space="preserve">Aufgabe 1: Beschreiben Sie die Unterschiede der Entladekurven des Blei- und Lithium-Ionen Akkus aus Abbildung 2. </w:t>
      </w:r>
    </w:p>
    <w:p w:rsidR="00322171" w:rsidRDefault="00322171" w:rsidP="00322171">
      <w:r>
        <w:t>Aufgabe 2: Formulieren Sie die Redoxreaktionen des Lade- bzw. Entladevorgangs für den in Abbildung 1 dargestellten Blei-Akku.</w:t>
      </w:r>
    </w:p>
    <w:p w:rsidR="00322171" w:rsidRDefault="00322171" w:rsidP="00322171">
      <w:r>
        <w:t xml:space="preserve">Aufgabe 3: Entwickeln Sie Kriterien zur Beurteilung von leistungsfähigen Akkus und beschreiben Sie die möglichen Grenzen. </w:t>
      </w:r>
    </w:p>
    <w:p w:rsidR="00322171" w:rsidRDefault="00322171" w:rsidP="00322171"/>
    <w:p w:rsidR="00322171" w:rsidRPr="00E54798" w:rsidRDefault="00322171" w:rsidP="00322171">
      <w:pPr>
        <w:rPr>
          <w:color w:val="auto"/>
        </w:rPr>
      </w:pPr>
    </w:p>
    <w:p w:rsidR="00322171" w:rsidRPr="005240FE" w:rsidRDefault="00322171" w:rsidP="00322171">
      <w:pPr>
        <w:sectPr w:rsidR="00322171" w:rsidRPr="005240FE" w:rsidSect="00FA076F">
          <w:headerReference w:type="default" r:id="rId7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  <w:r>
        <w:t xml:space="preserve"> </w:t>
      </w:r>
    </w:p>
    <w:p w:rsidR="00322171" w:rsidRPr="004E19B4" w:rsidRDefault="00322171" w:rsidP="00322171">
      <w:pPr>
        <w:pStyle w:val="berschrift1"/>
      </w:pPr>
      <w:bookmarkStart w:id="0" w:name="_Toc427744660"/>
      <w:bookmarkStart w:id="1" w:name="_Toc425776597"/>
      <w:r w:rsidRPr="004E19B4">
        <w:lastRenderedPageBreak/>
        <w:t>5</w:t>
      </w:r>
      <w:r w:rsidRPr="004E19B4">
        <w:tab/>
        <w:t>Didaktischer Kommentar zum Schülerarbeitsblatt</w:t>
      </w:r>
      <w:bookmarkEnd w:id="0"/>
      <w:r w:rsidRPr="004E19B4">
        <w:t xml:space="preserve"> </w:t>
      </w:r>
      <w:bookmarkEnd w:id="1"/>
    </w:p>
    <w:p w:rsidR="00322171" w:rsidRPr="00976D55" w:rsidRDefault="00322171" w:rsidP="00322171">
      <w:r>
        <w:t xml:space="preserve">Der Lithium-Ionen-Akku ist der leistungsfähigste Akku derzeit auf dem Markt. Dennoch werden in Autos Blei-Akkus als Starterbatterie verwendet. Im Chemieunterricht werden oft nur die Redoxreaktionen verschiedener galvanischer Zellen miteinander vergleichen und erläutert. Ziel dieses Arbeitsblattes ist, dass </w:t>
      </w:r>
      <w:proofErr w:type="spellStart"/>
      <w:r>
        <w:t>SuS</w:t>
      </w:r>
      <w:proofErr w:type="spellEnd"/>
      <w:r>
        <w:t xml:space="preserve"> die Leistungen von einem Lithium-Ionen-Akku mit einem Blei-Akku mittels aufgenommener Daten vergleichen. Des Weiteren ist Ziel dieses Arbeitsblattes, dass </w:t>
      </w:r>
      <w:proofErr w:type="spellStart"/>
      <w:r>
        <w:t>SuS</w:t>
      </w:r>
      <w:proofErr w:type="spellEnd"/>
      <w:r>
        <w:t xml:space="preserve"> selbständig Kriterien zur Beurteilung und Bewertung von Akkumulatoren entwickeln. Dabei sollen Sie vor allem auf die Gefahrenpotentiale eines Lithium-Ionen-Akkus eingehen und den Blei-Akku als sehr strapazierfähig herausstellen. </w:t>
      </w:r>
    </w:p>
    <w:p w:rsidR="00322171" w:rsidRDefault="00322171" w:rsidP="00322171">
      <w:pPr>
        <w:pStyle w:val="berschrift2"/>
        <w:numPr>
          <w:ilvl w:val="1"/>
          <w:numId w:val="0"/>
        </w:numPr>
        <w:spacing w:after="200"/>
        <w:ind w:left="576" w:hanging="576"/>
        <w:rPr>
          <w:color w:val="auto"/>
        </w:rPr>
      </w:pPr>
      <w:bookmarkStart w:id="2" w:name="_Toc425776598"/>
    </w:p>
    <w:p w:rsidR="00322171" w:rsidRPr="004E19B4" w:rsidRDefault="00322171" w:rsidP="00322171">
      <w:pPr>
        <w:pStyle w:val="berschrift2"/>
      </w:pPr>
      <w:bookmarkStart w:id="3" w:name="_Toc427744661"/>
      <w:r w:rsidRPr="004E19B4">
        <w:t>5.1</w:t>
      </w:r>
      <w:r w:rsidRPr="004E19B4">
        <w:tab/>
        <w:t>Erwartungshorizont (Kerncurriculum)</w:t>
      </w:r>
      <w:bookmarkEnd w:id="2"/>
      <w:bookmarkEnd w:id="3"/>
    </w:p>
    <w:p w:rsidR="00322171" w:rsidRDefault="00322171" w:rsidP="00322171">
      <w:r>
        <w:t>Im Folgenden werden die vorrangig geförderten Kompetenzen in den Bereichen Fachwissen, Erkenntnisgewinnung, Kommunikation und Bewertung im Bezug zum KC für jede Aufgabe erläutert.</w:t>
      </w:r>
    </w:p>
    <w:p w:rsidR="00322171" w:rsidRPr="00263051" w:rsidRDefault="00322171" w:rsidP="00322171">
      <w:pPr>
        <w:pStyle w:val="Listenabsatz"/>
        <w:numPr>
          <w:ilvl w:val="0"/>
          <w:numId w:val="1"/>
        </w:numPr>
        <w:rPr>
          <w:b/>
          <w:i/>
        </w:rPr>
      </w:pPr>
      <w:r w:rsidRPr="00C95235">
        <w:rPr>
          <w:b/>
          <w:i/>
        </w:rPr>
        <w:t xml:space="preserve">Aufgabe </w:t>
      </w:r>
      <w:r>
        <w:rPr>
          <w:b/>
          <w:i/>
        </w:rPr>
        <w:t>1</w:t>
      </w:r>
    </w:p>
    <w:p w:rsidR="00322171" w:rsidRDefault="00322171" w:rsidP="00322171">
      <w:r>
        <w:t xml:space="preserve">Aufgabe 2 verlangt von </w:t>
      </w:r>
      <w:proofErr w:type="spellStart"/>
      <w:r>
        <w:t>SuS</w:t>
      </w:r>
      <w:proofErr w:type="spellEnd"/>
      <w:r>
        <w:t xml:space="preserve"> fachspezifisches Wissen in einem Kontext anzuwenden und diese Sachverhalte strukturiert darzustellen. Das Niveau dieser Aufgabe entspricht somit dem Anforderungsbereich I</w:t>
      </w:r>
    </w:p>
    <w:p w:rsidR="00322171" w:rsidRDefault="00322171" w:rsidP="00322171">
      <w:r>
        <w:t>Fachwissen:</w:t>
      </w:r>
      <w:r>
        <w:tab/>
      </w:r>
      <w:r>
        <w:tab/>
      </w:r>
      <w:r>
        <w:tab/>
      </w:r>
      <w:proofErr w:type="spellStart"/>
      <w:r>
        <w:t>SuS</w:t>
      </w:r>
      <w:proofErr w:type="spellEnd"/>
      <w:r>
        <w:t xml:space="preserve"> nennen prinzipielle Unterschiede von Akkumulatoren.</w:t>
      </w:r>
    </w:p>
    <w:p w:rsidR="00322171" w:rsidRDefault="00322171" w:rsidP="00322171">
      <w:r>
        <w:t>Erkenntnisgewinnung:</w:t>
      </w:r>
      <w:r>
        <w:tab/>
      </w:r>
      <w:proofErr w:type="spellStart"/>
      <w:r>
        <w:t>SuS</w:t>
      </w:r>
      <w:proofErr w:type="spellEnd"/>
      <w:r>
        <w:t xml:space="preserve"> lesen aus Daten die Spannung einer galvanischen Zelle ab.</w:t>
      </w:r>
    </w:p>
    <w:p w:rsidR="00322171" w:rsidRDefault="00322171" w:rsidP="00322171">
      <w:pPr>
        <w:ind w:left="2832" w:hanging="2832"/>
      </w:pPr>
      <w:r>
        <w:t>Kommunikation:</w:t>
      </w:r>
      <w:r>
        <w:tab/>
      </w:r>
      <w:proofErr w:type="spellStart"/>
      <w:r>
        <w:t>SuS</w:t>
      </w:r>
      <w:proofErr w:type="spellEnd"/>
      <w:r>
        <w:t xml:space="preserve"> übersetzen die Alltagsbegriffe Energiequellen, verbrauchte Energie und Energieverlaust in Fachsprache.</w:t>
      </w:r>
    </w:p>
    <w:p w:rsidR="00322171" w:rsidRPr="00EF6788" w:rsidRDefault="00322171" w:rsidP="00322171">
      <w:pPr>
        <w:pStyle w:val="Listenabsatz"/>
        <w:numPr>
          <w:ilvl w:val="0"/>
          <w:numId w:val="1"/>
        </w:numPr>
        <w:rPr>
          <w:b/>
          <w:i/>
        </w:rPr>
      </w:pPr>
      <w:r w:rsidRPr="00EF6788">
        <w:rPr>
          <w:b/>
          <w:i/>
        </w:rPr>
        <w:t>Aufgabe 2</w:t>
      </w:r>
    </w:p>
    <w:p w:rsidR="00322171" w:rsidRDefault="00322171" w:rsidP="00322171">
      <w:r>
        <w:t xml:space="preserve">In dieser Aufgabe sollen </w:t>
      </w:r>
      <w:proofErr w:type="spellStart"/>
      <w:r>
        <w:t>SuS</w:t>
      </w:r>
      <w:proofErr w:type="spellEnd"/>
      <w:r>
        <w:t xml:space="preserve"> gelernte Sachverhalte reproduzieren und fachsprachlich korrekt benennen. Zur Unterstützung wird den </w:t>
      </w:r>
      <w:proofErr w:type="spellStart"/>
      <w:r>
        <w:t>SuS</w:t>
      </w:r>
      <w:proofErr w:type="spellEnd"/>
      <w:r>
        <w:t xml:space="preserve"> in Abbildung 1 der schematische Aufbau eines Blei-Akkus vorgegeben. Aufgrund der Wiedergabe von bereits gelernten Fakten entspricht diese Aufgabe dem Anforderungsbereich II.</w:t>
      </w:r>
    </w:p>
    <w:p w:rsidR="00322171" w:rsidRDefault="00322171" w:rsidP="00322171">
      <w:pPr>
        <w:ind w:left="2124" w:hanging="2124"/>
      </w:pPr>
      <w:r>
        <w:t>Fachwissen:</w:t>
      </w:r>
      <w:r>
        <w:tab/>
      </w:r>
      <w:proofErr w:type="spellStart"/>
      <w:r>
        <w:t>SuS</w:t>
      </w:r>
      <w:proofErr w:type="spellEnd"/>
      <w:r>
        <w:t xml:space="preserve"> erläutern Redoxreaktionen als Elektronenübertragungsreaktion.</w:t>
      </w:r>
    </w:p>
    <w:p w:rsidR="00322171" w:rsidRDefault="00322171" w:rsidP="00322171">
      <w:pPr>
        <w:ind w:left="2124" w:hanging="2124"/>
      </w:pPr>
      <w:r>
        <w:tab/>
      </w:r>
      <w:proofErr w:type="spellStart"/>
      <w:r>
        <w:t>SuS</w:t>
      </w:r>
      <w:proofErr w:type="spellEnd"/>
      <w:r>
        <w:t xml:space="preserve"> beschreiben mithilfe der </w:t>
      </w:r>
      <w:proofErr w:type="spellStart"/>
      <w:r>
        <w:t>Oxidatonszahlen</w:t>
      </w:r>
      <w:proofErr w:type="spellEnd"/>
      <w:r>
        <w:t xml:space="preserve"> korrespondierende </w:t>
      </w:r>
      <w:proofErr w:type="spellStart"/>
      <w:r>
        <w:t>Redoxpaare</w:t>
      </w:r>
      <w:proofErr w:type="spellEnd"/>
      <w:r>
        <w:t>.</w:t>
      </w:r>
    </w:p>
    <w:p w:rsidR="00322171" w:rsidRDefault="00322171" w:rsidP="00322171">
      <w:pPr>
        <w:ind w:left="2124" w:hanging="2124"/>
      </w:pPr>
      <w:r>
        <w:lastRenderedPageBreak/>
        <w:tab/>
      </w:r>
      <w:proofErr w:type="spellStart"/>
      <w:r>
        <w:t>SuS</w:t>
      </w:r>
      <w:proofErr w:type="spellEnd"/>
      <w:r>
        <w:t xml:space="preserve"> deuten die Elektrolyse als Umkehr des galvanischen Elements.</w:t>
      </w:r>
    </w:p>
    <w:p w:rsidR="00322171" w:rsidRDefault="00322171" w:rsidP="00322171">
      <w:pPr>
        <w:ind w:left="2832" w:hanging="2832"/>
      </w:pPr>
    </w:p>
    <w:p w:rsidR="00322171" w:rsidRPr="00263051" w:rsidRDefault="00322171" w:rsidP="00322171">
      <w:pPr>
        <w:pStyle w:val="Listenabsatz"/>
        <w:numPr>
          <w:ilvl w:val="0"/>
          <w:numId w:val="1"/>
        </w:numPr>
        <w:rPr>
          <w:b/>
          <w:i/>
        </w:rPr>
      </w:pPr>
      <w:r w:rsidRPr="00263051">
        <w:rPr>
          <w:b/>
          <w:i/>
        </w:rPr>
        <w:t>Aufgabe 3</w:t>
      </w:r>
    </w:p>
    <w:p w:rsidR="00322171" w:rsidRDefault="00322171" w:rsidP="00322171">
      <w:r>
        <w:t xml:space="preserve">Aufgabe 3 beinhaltet das Auswählen von fachspezifischen Wissen und Anwenden auf teilweise unbekannte Kontexte. Des Weiteren müssen </w:t>
      </w:r>
      <w:proofErr w:type="spellStart"/>
      <w:r>
        <w:t>SuS</w:t>
      </w:r>
      <w:proofErr w:type="spellEnd"/>
      <w:r>
        <w:t xml:space="preserve"> ihre Erkenntnisse als Basis für die Beurteilung eines Sachverhaltes nutzen und begründen können. Aufgrund der hohen kognitiven Forderung dieser Aufgabe entspricht das Niveau dem Anforderungsbereich III.</w:t>
      </w:r>
    </w:p>
    <w:p w:rsidR="00322171" w:rsidRDefault="00322171" w:rsidP="00322171">
      <w:r>
        <w:t>Erkenntnisgewinnung:</w:t>
      </w:r>
      <w:r>
        <w:tab/>
      </w:r>
      <w:proofErr w:type="spellStart"/>
      <w:r>
        <w:t>SuS</w:t>
      </w:r>
      <w:proofErr w:type="spellEnd"/>
      <w:r>
        <w:t xml:space="preserve"> strukturieren ihr Wissen zu Akkumulatoren.</w:t>
      </w:r>
    </w:p>
    <w:p w:rsidR="00322171" w:rsidRDefault="00322171" w:rsidP="00322171">
      <w:pPr>
        <w:ind w:left="2832" w:firstLine="3"/>
      </w:pPr>
      <w:proofErr w:type="spellStart"/>
      <w:r>
        <w:t>SuS</w:t>
      </w:r>
      <w:proofErr w:type="spellEnd"/>
      <w:r>
        <w:t xml:space="preserve"> entwickeln Kriterien zur Beurteilung von technischen Systemen.</w:t>
      </w:r>
    </w:p>
    <w:p w:rsidR="00322171" w:rsidRDefault="00322171" w:rsidP="00322171">
      <w:pPr>
        <w:ind w:left="2832" w:hanging="2832"/>
      </w:pPr>
      <w:r>
        <w:t>Bewertung:</w:t>
      </w:r>
      <w:r>
        <w:tab/>
      </w:r>
      <w:proofErr w:type="spellStart"/>
      <w:r>
        <w:t>SuS</w:t>
      </w:r>
      <w:proofErr w:type="spellEnd"/>
      <w:r>
        <w:t xml:space="preserve"> beurteilen und bewerten den Einsatz elektrochemischer Energiequellen.</w:t>
      </w:r>
    </w:p>
    <w:p w:rsidR="00322171" w:rsidRPr="00C95235" w:rsidRDefault="00322171" w:rsidP="00322171">
      <w:pPr>
        <w:pStyle w:val="Listenabsatz"/>
        <w:ind w:left="0"/>
      </w:pPr>
    </w:p>
    <w:p w:rsidR="00322171" w:rsidRPr="00E54798" w:rsidRDefault="00322171" w:rsidP="00322171">
      <w:pPr>
        <w:pStyle w:val="berschrift2"/>
      </w:pPr>
      <w:bookmarkStart w:id="4" w:name="_Toc425776599"/>
      <w:bookmarkStart w:id="5" w:name="_Toc427744662"/>
      <w:r>
        <w:t>5.2</w:t>
      </w:r>
      <w:r>
        <w:tab/>
      </w:r>
      <w:r w:rsidRPr="00E54798">
        <w:t>Erwartungshorizont (Inhaltlich)</w:t>
      </w:r>
      <w:bookmarkEnd w:id="4"/>
      <w:bookmarkEnd w:id="5"/>
    </w:p>
    <w:p w:rsidR="00322171" w:rsidRDefault="00322171" w:rsidP="00322171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Aufgabe 1:</w:t>
      </w:r>
    </w:p>
    <w:p w:rsidR="00322171" w:rsidRPr="00FA076F" w:rsidRDefault="00322171" w:rsidP="00322171">
      <w:pPr>
        <w:rPr>
          <w:rFonts w:asciiTheme="majorHAnsi" w:hAnsiTheme="majorHAnsi"/>
          <w:color w:val="5B9BD5" w:themeColor="accent1"/>
          <w:u w:val="single"/>
        </w:rPr>
      </w:pPr>
      <w:r w:rsidRPr="00FA076F">
        <w:rPr>
          <w:rFonts w:asciiTheme="majorHAnsi" w:hAnsiTheme="majorHAnsi"/>
          <w:color w:val="5B9BD5" w:themeColor="accent1"/>
          <w:u w:val="single"/>
        </w:rPr>
        <w:t>Laden:</w:t>
      </w:r>
    </w:p>
    <w:p w:rsidR="00322171" w:rsidRPr="00FA076F" w:rsidRDefault="00322171" w:rsidP="00322171">
      <w:pPr>
        <w:rPr>
          <w:rFonts w:asciiTheme="majorHAnsi" w:eastAsiaTheme="minorEastAsia" w:hAnsiTheme="majorHAnsi"/>
          <w:color w:val="5B9BD5" w:themeColor="accent1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5B9BD5" w:themeColor="accent1"/>
            </w:rPr>
            <m:t xml:space="preserve">Minuspol </m:t>
          </m:r>
          <m:d>
            <m:dPr>
              <m:ctrlPr>
                <w:rPr>
                  <w:rFonts w:ascii="Cambria Math" w:hAnsi="Cambria Math"/>
                  <w:color w:val="5B9BD5" w:themeColor="accent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5B9BD5" w:themeColor="accent1"/>
                </w:rPr>
                <m:t>Kathode</m:t>
              </m:r>
            </m:e>
          </m:d>
          <m:r>
            <m:rPr>
              <m:sty m:val="p"/>
            </m:rPr>
            <w:rPr>
              <w:rFonts w:ascii="Cambria Math" w:hAnsi="Cambria Math"/>
              <w:color w:val="5B9BD5" w:themeColor="accent1"/>
            </w:rPr>
            <m:t>:PbS</m:t>
          </m:r>
          <m:sSub>
            <m:sSubPr>
              <m:ctrlPr>
                <w:rPr>
                  <w:rFonts w:ascii="Cambria Math" w:hAnsi="Cambria Math"/>
                  <w:color w:val="5B9BD5" w:themeColor="accen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5B9BD5" w:themeColor="accent1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5B9BD5" w:themeColor="accent1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5B9BD5" w:themeColor="accent1"/>
            </w:rPr>
            <m:t xml:space="preserve">+2 </m:t>
          </m:r>
          <m:sSup>
            <m:sSupPr>
              <m:ctrlPr>
                <w:rPr>
                  <w:rFonts w:ascii="Cambria Math" w:hAnsi="Cambria Math"/>
                  <w:color w:val="5B9BD5" w:themeColor="accent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5B9BD5" w:themeColor="accent1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5B9BD5" w:themeColor="accent1"/>
                </w:rPr>
                <m:t>-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5B9BD5" w:themeColor="accent1"/>
            </w:rPr>
            <m:t>→Pb+S</m:t>
          </m:r>
          <m:sSubSup>
            <m:sSubSupPr>
              <m:ctrlPr>
                <w:rPr>
                  <w:rFonts w:ascii="Cambria Math" w:hAnsi="Cambria Math"/>
                  <w:color w:val="5B9BD5" w:themeColor="accent1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5B9BD5" w:themeColor="accent1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5B9BD5" w:themeColor="accent1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5B9BD5" w:themeColor="accent1"/>
                </w:rPr>
                <m:t>2-</m:t>
              </m:r>
            </m:sup>
          </m:sSubSup>
        </m:oMath>
      </m:oMathPara>
    </w:p>
    <w:p w:rsidR="00322171" w:rsidRPr="00FA076F" w:rsidRDefault="00322171" w:rsidP="00322171">
      <w:pPr>
        <w:rPr>
          <w:rFonts w:asciiTheme="majorHAnsi" w:eastAsiaTheme="minorEastAsia" w:hAnsiTheme="majorHAnsi"/>
          <w:color w:val="5B9BD5" w:themeColor="accen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 xml:space="preserve">Pluspol </m:t>
          </m:r>
          <m:d>
            <m:d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Anode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>:PbS</m:t>
          </m:r>
          <m:sSub>
            <m:sSub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 xml:space="preserve">+ 6 </m:t>
          </m:r>
          <m:sSub>
            <m:sSub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>O→Pb</m:t>
          </m:r>
          <m:sSub>
            <m:sSub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 xml:space="preserve">+2 </m:t>
          </m:r>
          <m:sSup>
            <m:sSup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-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>+S</m:t>
          </m:r>
          <m:sSubSup>
            <m:sSubSup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2-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 xml:space="preserve">+4 </m:t>
          </m:r>
          <m:sSub>
            <m:sSub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3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O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+</m:t>
              </m:r>
            </m:sup>
          </m:sSup>
        </m:oMath>
      </m:oMathPara>
    </w:p>
    <w:p w:rsidR="00322171" w:rsidRPr="00FA076F" w:rsidRDefault="00322171" w:rsidP="00322171">
      <w:pPr>
        <w:rPr>
          <w:rFonts w:asciiTheme="majorHAnsi" w:eastAsiaTheme="minorEastAsia" w:hAnsiTheme="majorHAnsi"/>
          <w:color w:val="5B9BD5" w:themeColor="accent1"/>
        </w:rPr>
      </w:pPr>
      <w:r w:rsidRPr="00FA076F">
        <w:rPr>
          <w:rFonts w:asciiTheme="majorHAnsi" w:eastAsiaTheme="minorEastAsia" w:hAnsiTheme="majorHAnsi"/>
          <w:color w:val="5B9BD5" w:themeColor="accent1"/>
        </w:rPr>
        <w:t>An der Kathode wird das Blei(II)-sulfat zu elementarem Blei(O) reduziert und an der Anode wird das Blei(II)-sulfat zu Blei(IV)-oxid oxidiert.</w:t>
      </w:r>
    </w:p>
    <w:p w:rsidR="00322171" w:rsidRPr="00FA076F" w:rsidRDefault="00322171" w:rsidP="00322171">
      <w:pPr>
        <w:rPr>
          <w:rFonts w:asciiTheme="majorHAnsi" w:eastAsiaTheme="minorEastAsia" w:hAnsiTheme="majorHAnsi"/>
          <w:color w:val="5B9BD5" w:themeColor="accent1"/>
          <w:u w:val="single"/>
        </w:rPr>
      </w:pPr>
      <w:r w:rsidRPr="00FA076F">
        <w:rPr>
          <w:rFonts w:asciiTheme="majorHAnsi" w:eastAsiaTheme="minorEastAsia" w:hAnsiTheme="majorHAnsi"/>
          <w:color w:val="5B9BD5" w:themeColor="accent1"/>
          <w:u w:val="single"/>
        </w:rPr>
        <w:t>Entladen:</w:t>
      </w:r>
    </w:p>
    <w:p w:rsidR="00322171" w:rsidRPr="00FA076F" w:rsidRDefault="00322171" w:rsidP="00322171">
      <w:pPr>
        <w:rPr>
          <w:rFonts w:asciiTheme="majorHAnsi" w:eastAsiaTheme="minorEastAsia" w:hAnsiTheme="majorHAnsi"/>
          <w:color w:val="5B9BD5" w:themeColor="accen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 xml:space="preserve">Minuspol </m:t>
          </m:r>
          <m:d>
            <m:d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Anode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>:Pb+S</m:t>
          </m:r>
          <m:sSubSup>
            <m:sSubSup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2-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>→PbS</m:t>
          </m:r>
          <m:sSub>
            <m:sSub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 xml:space="preserve">+2 </m:t>
          </m:r>
          <m:sSup>
            <m:sSup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-</m:t>
              </m:r>
            </m:sup>
          </m:sSup>
        </m:oMath>
      </m:oMathPara>
    </w:p>
    <w:p w:rsidR="00322171" w:rsidRPr="00FA076F" w:rsidRDefault="00322171" w:rsidP="00322171">
      <w:pPr>
        <w:rPr>
          <w:rFonts w:asciiTheme="majorHAnsi" w:eastAsiaTheme="minorEastAsia" w:hAnsiTheme="majorHAnsi"/>
          <w:color w:val="5B9BD5" w:themeColor="accen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 xml:space="preserve">Pluspol </m:t>
          </m:r>
          <m:d>
            <m:d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Kathode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>:Pb</m:t>
          </m:r>
          <m:sSub>
            <m:sSub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 xml:space="preserve">+2 </m:t>
          </m:r>
          <m:sSup>
            <m:sSup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-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>+S</m:t>
          </m:r>
          <m:sSubSup>
            <m:sSubSup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2-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 xml:space="preserve">+4 </m:t>
          </m:r>
          <m:sSub>
            <m:sSub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3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O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+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>→PbS</m:t>
          </m:r>
          <m:sSub>
            <m:sSub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 xml:space="preserve">+6 </m:t>
          </m:r>
          <m:sSub>
            <m:sSubPr>
              <m:ctrlPr>
                <w:rPr>
                  <w:rFonts w:ascii="Cambria Math" w:eastAsiaTheme="minorEastAsia" w:hAnsi="Cambria Math"/>
                  <w:color w:val="5B9BD5" w:themeColor="accen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5B9BD5" w:themeColor="accent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5B9BD5" w:themeColor="accent1"/>
            </w:rPr>
            <m:t>O</m:t>
          </m:r>
        </m:oMath>
      </m:oMathPara>
    </w:p>
    <w:p w:rsidR="00322171" w:rsidRPr="00FA076F" w:rsidRDefault="00322171" w:rsidP="00322171">
      <w:pPr>
        <w:rPr>
          <w:rFonts w:asciiTheme="majorHAnsi" w:eastAsiaTheme="minorEastAsia" w:hAnsiTheme="majorHAnsi"/>
          <w:color w:val="5B9BD5" w:themeColor="accent1"/>
        </w:rPr>
      </w:pPr>
      <w:r w:rsidRPr="00FA076F">
        <w:rPr>
          <w:rFonts w:asciiTheme="majorHAnsi" w:eastAsiaTheme="minorEastAsia" w:hAnsiTheme="majorHAnsi"/>
          <w:color w:val="5B9BD5" w:themeColor="accent1"/>
        </w:rPr>
        <w:t>An der Anode wird das elementare Blei(O) zu Blei(II)-sulfat oxidiert und an der Kathode wird das Blei(IV)-oxid zu Blei(II)-sulfat reduziert.</w:t>
      </w:r>
    </w:p>
    <w:p w:rsidR="00322171" w:rsidRDefault="00322171" w:rsidP="00322171">
      <w:pPr>
        <w:spacing w:line="276" w:lineRule="auto"/>
        <w:jc w:val="left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br w:type="page"/>
      </w:r>
    </w:p>
    <w:p w:rsidR="00322171" w:rsidRDefault="00322171" w:rsidP="00322171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lastRenderedPageBreak/>
        <w:t>Aufgabe 2:</w:t>
      </w:r>
    </w:p>
    <w:p w:rsidR="00322171" w:rsidRDefault="00322171" w:rsidP="00322171">
      <w:pPr>
        <w:rPr>
          <w:rFonts w:asciiTheme="majorHAnsi" w:eastAsiaTheme="minorEastAsia" w:hAnsiTheme="majorHAnsi"/>
          <w:color w:val="5B9BD5" w:themeColor="accent1"/>
        </w:rPr>
      </w:pPr>
      <w:r>
        <w:rPr>
          <w:rFonts w:asciiTheme="majorHAnsi" w:eastAsiaTheme="minorEastAsia" w:hAnsiTheme="majorHAnsi"/>
          <w:color w:val="5B9BD5" w:themeColor="accent1"/>
        </w:rPr>
        <w:t>Der Lithium-Ionen-Akku hat zum Zeitpunkt t=0 eine Zellspannung von ca. 2,9 V und der Blei-Akku von 2,3 V. Somit weist der Lithium-Ionen-Akku im Vergleich zum Blei-Akku bereits vor dem Entladevorgang eine höhere Zellspannung auf. Des Weiteren ist der Blei-Akku bereits nach 75 s vollständig entladen (</w:t>
      </w:r>
      <w:proofErr w:type="spellStart"/>
      <w:r>
        <w:rPr>
          <w:rFonts w:asciiTheme="majorHAnsi" w:eastAsiaTheme="minorEastAsia" w:hAnsiTheme="majorHAnsi"/>
          <w:color w:val="5B9BD5" w:themeColor="accent1"/>
        </w:rPr>
        <w:t>U</w:t>
      </w:r>
      <w:r>
        <w:rPr>
          <w:rFonts w:asciiTheme="majorHAnsi" w:eastAsiaTheme="minorEastAsia" w:hAnsiTheme="majorHAnsi"/>
          <w:color w:val="5B9BD5" w:themeColor="accent1"/>
          <w:vertAlign w:val="subscript"/>
        </w:rPr>
        <w:t>Blei</w:t>
      </w:r>
      <w:proofErr w:type="spellEnd"/>
      <w:r>
        <w:rPr>
          <w:rFonts w:asciiTheme="majorHAnsi" w:eastAsiaTheme="minorEastAsia" w:hAnsiTheme="majorHAnsi"/>
          <w:color w:val="5B9BD5" w:themeColor="accent1"/>
        </w:rPr>
        <w:t xml:space="preserve"> = 0 V), wobei der Lithium-Ionen-Akku noch eine Spannung von über 1 V aufweist. Insgesamt entlädt sich der Lithium-Ionen-Akku wesentlich langsamer als der Blei-Akku trotz gleicher Ladezeit.</w:t>
      </w:r>
    </w:p>
    <w:p w:rsidR="00322171" w:rsidRDefault="00322171" w:rsidP="00322171">
      <w:pPr>
        <w:rPr>
          <w:rFonts w:asciiTheme="majorHAnsi" w:eastAsiaTheme="minorEastAsia" w:hAnsiTheme="majorHAnsi"/>
          <w:color w:val="5B9BD5" w:themeColor="accent1"/>
        </w:rPr>
      </w:pPr>
      <w:r>
        <w:rPr>
          <w:rFonts w:asciiTheme="majorHAnsi" w:eastAsiaTheme="minorEastAsia" w:hAnsiTheme="majorHAnsi"/>
          <w:color w:val="auto"/>
        </w:rPr>
        <w:t xml:space="preserve">Aufgabe 3: </w:t>
      </w:r>
    </w:p>
    <w:p w:rsidR="00322171" w:rsidRDefault="00322171" w:rsidP="00322171">
      <w:pPr>
        <w:rPr>
          <w:rFonts w:asciiTheme="majorHAnsi" w:eastAsiaTheme="minorEastAsia" w:hAnsiTheme="majorHAnsi"/>
          <w:color w:val="5B9BD5" w:themeColor="accent1"/>
        </w:rPr>
      </w:pPr>
      <w:r>
        <w:rPr>
          <w:rFonts w:asciiTheme="majorHAnsi" w:eastAsiaTheme="minorEastAsia" w:hAnsiTheme="majorHAnsi"/>
          <w:color w:val="5B9BD5" w:themeColor="accent1"/>
        </w:rPr>
        <w:t xml:space="preserve">Einige wichtige Kriterien für einen leistungsfähigen Akku sind: kein Memory-Effekt, eine hohe </w:t>
      </w:r>
      <w:proofErr w:type="spellStart"/>
      <w:r w:rsidRPr="0099077F">
        <w:rPr>
          <w:rFonts w:asciiTheme="majorHAnsi" w:eastAsiaTheme="minorEastAsia" w:hAnsiTheme="majorHAnsi"/>
          <w:color w:val="5B9BD5" w:themeColor="accent1"/>
        </w:rPr>
        <w:t>Zylenanzahl</w:t>
      </w:r>
      <w:proofErr w:type="spellEnd"/>
      <w:r w:rsidRPr="0099077F">
        <w:rPr>
          <w:rFonts w:asciiTheme="majorHAnsi" w:eastAsiaTheme="minorEastAsia" w:hAnsiTheme="majorHAnsi"/>
          <w:color w:val="5B9BD5" w:themeColor="accent1"/>
        </w:rPr>
        <w:t xml:space="preserve">, </w:t>
      </w:r>
      <w:r>
        <w:rPr>
          <w:rFonts w:asciiTheme="majorHAnsi" w:eastAsiaTheme="minorEastAsia" w:hAnsiTheme="majorHAnsi"/>
          <w:color w:val="5B9BD5" w:themeColor="accent1"/>
        </w:rPr>
        <w:t>Leichtigkeit</w:t>
      </w:r>
      <w:r w:rsidRPr="0099077F">
        <w:rPr>
          <w:rFonts w:asciiTheme="majorHAnsi" w:eastAsiaTheme="minorEastAsia" w:hAnsiTheme="majorHAnsi"/>
          <w:color w:val="5B9BD5" w:themeColor="accent1"/>
        </w:rPr>
        <w:t>, Umweltverträglichkeit, lange Entladezeit und</w:t>
      </w:r>
      <w:r>
        <w:rPr>
          <w:rFonts w:asciiTheme="majorHAnsi" w:eastAsiaTheme="minorEastAsia" w:hAnsiTheme="majorHAnsi"/>
          <w:color w:val="5B9BD5" w:themeColor="accent1"/>
        </w:rPr>
        <w:t xml:space="preserve"> </w:t>
      </w:r>
      <w:r w:rsidRPr="0099077F">
        <w:rPr>
          <w:color w:val="5B9BD5" w:themeColor="accent1"/>
        </w:rPr>
        <w:t>Uni</w:t>
      </w:r>
      <w:r w:rsidRPr="0099077F">
        <w:rPr>
          <w:color w:val="5B9BD5" w:themeColor="accent1"/>
        </w:rPr>
        <w:softHyphen/>
        <w:t>ver</w:t>
      </w:r>
      <w:r w:rsidRPr="0099077F">
        <w:rPr>
          <w:color w:val="5B9BD5" w:themeColor="accent1"/>
        </w:rPr>
        <w:softHyphen/>
        <w:t>sa</w:t>
      </w:r>
      <w:r w:rsidRPr="0099077F">
        <w:rPr>
          <w:color w:val="5B9BD5" w:themeColor="accent1"/>
        </w:rPr>
        <w:softHyphen/>
        <w:t>li</w:t>
      </w:r>
      <w:r w:rsidRPr="0099077F">
        <w:rPr>
          <w:color w:val="5B9BD5" w:themeColor="accent1"/>
        </w:rPr>
        <w:softHyphen/>
        <w:t>tät</w:t>
      </w:r>
      <w:r>
        <w:rPr>
          <w:color w:val="5B9BD5" w:themeColor="accent1"/>
        </w:rPr>
        <w:t>.</w:t>
      </w:r>
      <w:r>
        <w:rPr>
          <w:rFonts w:asciiTheme="majorHAnsi" w:eastAsiaTheme="minorEastAsia" w:hAnsiTheme="majorHAnsi"/>
          <w:color w:val="5B9BD5" w:themeColor="accent1"/>
        </w:rPr>
        <w:t xml:space="preserve"> Des Weiteren sollten die Akkuleistungen nicht von der Temperatur abhängig sein und Erschütterungen sollten keine Auswirkungen auf die chemischen Reaktionen oder das Material haben.</w:t>
      </w:r>
    </w:p>
    <w:p w:rsidR="00322171" w:rsidRDefault="00322171" w:rsidP="00322171">
      <w:pPr>
        <w:rPr>
          <w:rFonts w:asciiTheme="majorHAnsi" w:eastAsiaTheme="minorEastAsia" w:hAnsiTheme="majorHAnsi"/>
          <w:color w:val="5B9BD5" w:themeColor="accent1"/>
        </w:rPr>
      </w:pPr>
      <w:r>
        <w:rPr>
          <w:rFonts w:asciiTheme="majorHAnsi" w:eastAsiaTheme="minorEastAsia" w:hAnsiTheme="majorHAnsi"/>
          <w:color w:val="5B9BD5" w:themeColor="accent1"/>
        </w:rPr>
        <w:t>All diese Kriterien können heutzutage noch nicht hundertprozentig umgesetzt werden, da sich die Anforderungen, die an einen Akku gestellt werden bei unterschiedlichen Anwendungen massiv unterscheiden. Des Weiteren können Lithium-Ionen-Akkus sehr gefährlich (explosiv) werden, wenn Feuchtigkeit in das Innere eintritt. Auch die Herstellung von Lithium-Ionen-Akkus ist sowohl technisch als auch chemisch mit viel Aufwand und Komplikationen verbunden, sodass noch weiter in diesem Gebiet geforscht werden muss.</w:t>
      </w:r>
    </w:p>
    <w:p w:rsidR="00946A7A" w:rsidRDefault="00946A7A">
      <w:bookmarkStart w:id="6" w:name="_GoBack"/>
      <w:bookmarkEnd w:id="6"/>
    </w:p>
    <w:sectPr w:rsidR="00946A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0"/>
        <w:szCs w:val="20"/>
      </w:rPr>
      <w:id w:val="32404297"/>
      <w:docPartObj>
        <w:docPartGallery w:val="Page Numbers (Top of Page)"/>
        <w:docPartUnique/>
      </w:docPartObj>
    </w:sdtPr>
    <w:sdtEndPr/>
    <w:sdtContent>
      <w:p w:rsidR="00115CA4" w:rsidRPr="00337B69" w:rsidRDefault="00322171" w:rsidP="00FA076F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E26DE"/>
    <w:multiLevelType w:val="hybridMultilevel"/>
    <w:tmpl w:val="73C4BF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71"/>
    <w:rsid w:val="00322171"/>
    <w:rsid w:val="0094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BEA27-2514-4DA3-BE80-D02A7612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2171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22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2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21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21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322171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2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2171"/>
    <w:rPr>
      <w:rFonts w:ascii="Cambria" w:hAnsi="Cambria"/>
      <w:color w:val="171717" w:themeColor="background2" w:themeShade="1A"/>
    </w:rPr>
  </w:style>
  <w:style w:type="paragraph" w:styleId="Listenabsatz">
    <w:name w:val="List Paragraph"/>
    <w:basedOn w:val="Standard"/>
    <w:uiPriority w:val="34"/>
    <w:qFormat/>
    <w:rsid w:val="0032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Münch</dc:creator>
  <cp:keywords/>
  <dc:description/>
  <cp:lastModifiedBy>Annika Münch</cp:lastModifiedBy>
  <cp:revision>1</cp:revision>
  <dcterms:created xsi:type="dcterms:W3CDTF">2015-08-22T15:21:00Z</dcterms:created>
  <dcterms:modified xsi:type="dcterms:W3CDTF">2015-08-22T15:22:00Z</dcterms:modified>
</cp:coreProperties>
</file>