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39" w:rsidRPr="0018173B" w:rsidRDefault="00544D39" w:rsidP="00544D39">
      <w:pPr>
        <w:pStyle w:val="berschrift2"/>
        <w:numPr>
          <w:ilvl w:val="0"/>
          <w:numId w:val="0"/>
        </w:numPr>
        <w:ind w:left="576" w:hanging="576"/>
      </w:pPr>
      <w:r w:rsidRPr="0018173B">
        <w:t>„</w:t>
      </w:r>
      <w:r>
        <w:t>Satz von Hess-Temperaturbilanz“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44D39" w:rsidRPr="009C5E28" w:rsidTr="001D08B5">
        <w:tc>
          <w:tcPr>
            <w:tcW w:w="9322" w:type="dxa"/>
            <w:gridSpan w:val="9"/>
            <w:shd w:val="clear" w:color="auto" w:fill="4F81BD"/>
            <w:vAlign w:val="center"/>
          </w:tcPr>
          <w:p w:rsidR="00544D39" w:rsidRPr="00F31EBF" w:rsidRDefault="00544D39" w:rsidP="001D08B5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44D39" w:rsidRPr="009C5E28" w:rsidTr="001D08B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CA5693" w:rsidRDefault="00544D39" w:rsidP="001D08B5">
            <w:pPr>
              <w:spacing w:after="0" w:line="276" w:lineRule="auto"/>
              <w:rPr>
                <w:b/>
                <w:bCs/>
              </w:rPr>
            </w:pPr>
            <w:r w:rsidRPr="00CA5693">
              <w:t>Aluminium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CA5693" w:rsidRDefault="00544D39" w:rsidP="001D08B5">
            <w:pPr>
              <w:spacing w:after="0"/>
            </w:pPr>
            <w:r w:rsidRPr="00CA5693">
              <w:t>H: 250-261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4D39" w:rsidRPr="00CA5693" w:rsidRDefault="00544D39" w:rsidP="001D08B5">
            <w:pPr>
              <w:spacing w:after="0"/>
            </w:pPr>
            <w:r w:rsidRPr="00CA5693">
              <w:t>P:222-231+232-422</w:t>
            </w:r>
          </w:p>
        </w:tc>
      </w:tr>
      <w:tr w:rsidR="00544D39" w:rsidRPr="009C5E28" w:rsidTr="001D08B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CA5693" w:rsidRDefault="00544D39" w:rsidP="001D08B5">
            <w:pPr>
              <w:spacing w:after="0" w:line="276" w:lineRule="auto"/>
            </w:pPr>
            <w:r w:rsidRPr="00CA5693"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CA5693" w:rsidRDefault="00544D39" w:rsidP="001D08B5">
            <w:pPr>
              <w:spacing w:after="0"/>
            </w:pPr>
            <w:r w:rsidRPr="00CA5693">
              <w:t>H: 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4D39" w:rsidRPr="00CA5693" w:rsidRDefault="00544D39" w:rsidP="001D08B5">
            <w:pPr>
              <w:spacing w:after="0"/>
            </w:pPr>
            <w:r>
              <w:t>P:</w:t>
            </w:r>
            <w:r w:rsidRPr="00CA5693">
              <w:t>234-260-305+351+338-303+361+353-304-340-309+311-501</w:t>
            </w:r>
          </w:p>
        </w:tc>
      </w:tr>
      <w:tr w:rsidR="00544D39" w:rsidRPr="009C5E28" w:rsidTr="001D08B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CA5693" w:rsidRDefault="00544D39" w:rsidP="001D08B5">
            <w:pPr>
              <w:spacing w:after="0" w:line="276" w:lineRule="auto"/>
            </w:pPr>
            <w:r w:rsidRPr="00CA5693">
              <w:t>Natronlauge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CA5693" w:rsidRDefault="00544D39" w:rsidP="001D08B5">
            <w:pPr>
              <w:spacing w:after="0"/>
            </w:pPr>
            <w:r w:rsidRPr="00CA5693">
              <w:t xml:space="preserve">H: 290-314                  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4D39" w:rsidRPr="00CA5693" w:rsidRDefault="00544D39" w:rsidP="001D08B5">
            <w:pPr>
              <w:spacing w:after="0"/>
            </w:pPr>
            <w:r>
              <w:t>P:</w:t>
            </w:r>
            <w:r w:rsidRPr="00CA5693">
              <w:t>280-301+330+331-305+351+338-308+310</w:t>
            </w:r>
          </w:p>
        </w:tc>
      </w:tr>
      <w:tr w:rsidR="00544D39" w:rsidRPr="009C5E28" w:rsidTr="001D08B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9C5E28" w:rsidRDefault="00544D39" w:rsidP="001D08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9C5E28" w:rsidRDefault="00544D3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9C5E28" w:rsidRDefault="00544D3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9C5E28" w:rsidRDefault="00544D3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9C5E28" w:rsidRDefault="00544D3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9C5E28" w:rsidRDefault="00544D3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9C5E28" w:rsidRDefault="00544D3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4D39" w:rsidRPr="009C5E28" w:rsidRDefault="00544D3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3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4D39" w:rsidRPr="009C5E28" w:rsidRDefault="00544D3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DEWAR-Gefäß (V=250 </w:t>
      </w:r>
      <w:proofErr w:type="spellStart"/>
      <w:r>
        <w:t>mL</w:t>
      </w:r>
      <w:proofErr w:type="spellEnd"/>
      <w:r>
        <w:t xml:space="preserve">), Messzylinder, </w:t>
      </w:r>
      <w:proofErr w:type="spellStart"/>
      <w:r>
        <w:t>Magnetrührer</w:t>
      </w:r>
      <w:proofErr w:type="spellEnd"/>
      <w:r>
        <w:t>, Rührstäbchen, Thermometer, Waage</w:t>
      </w:r>
    </w:p>
    <w:p w:rsidR="00544D39" w:rsidRPr="00ED07C2" w:rsidRDefault="00544D39" w:rsidP="00544D3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Aluminium (Al, Pulver), Salzsäure (</w:t>
      </w:r>
      <w:proofErr w:type="spellStart"/>
      <w:r>
        <w:t>HCl</w:t>
      </w:r>
      <w:proofErr w:type="spellEnd"/>
      <w:r>
        <w:t>, ω= 10 %), Natronlauge (</w:t>
      </w:r>
      <w:proofErr w:type="spellStart"/>
      <w:r>
        <w:t>NaOH</w:t>
      </w:r>
      <w:proofErr w:type="spellEnd"/>
      <w:r>
        <w:t>, ω= 25 %)</w:t>
      </w: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  <w:r>
        <w:t xml:space="preserve">Durchführung:  </w:t>
      </w:r>
      <w:r>
        <w:tab/>
      </w:r>
      <w:r>
        <w:tab/>
      </w:r>
      <w:r>
        <w:tab/>
        <w:t xml:space="preserve">a) In das DEWAR-Gefäß werden 60 </w:t>
      </w:r>
      <w:proofErr w:type="spellStart"/>
      <w:r>
        <w:t>mL</w:t>
      </w:r>
      <w:proofErr w:type="spellEnd"/>
      <w:r>
        <w:t xml:space="preserve"> Salzsäure gegeben. Die Anfang</w:t>
      </w:r>
      <w:r>
        <w:t>s</w:t>
      </w:r>
      <w:r>
        <w:t>temperatur T</w:t>
      </w:r>
      <w:r w:rsidRPr="00CA5693">
        <w:rPr>
          <w:vertAlign w:val="subscript"/>
        </w:rPr>
        <w:t>1</w:t>
      </w:r>
      <w:r>
        <w:t xml:space="preserve"> wird bestimmt. Nach Zugabe von 1 g Aluminium wird die Temperatur erneut gemessen (T</w:t>
      </w:r>
      <w:r w:rsidRPr="00CA5693">
        <w:rPr>
          <w:vertAlign w:val="subscript"/>
        </w:rPr>
        <w:t>2</w:t>
      </w:r>
      <w:r>
        <w:t xml:space="preserve">). 100 </w:t>
      </w:r>
      <w:proofErr w:type="spellStart"/>
      <w:r>
        <w:t>mL</w:t>
      </w:r>
      <w:proofErr w:type="spellEnd"/>
      <w:r>
        <w:t xml:space="preserve"> Natronlauge werden hinzug</w:t>
      </w:r>
      <w:r>
        <w:t>e</w:t>
      </w:r>
      <w:r>
        <w:t>fügt, nach Umrühren und Lösen des Niederschlags wird die Temperatur bestimmt (T</w:t>
      </w:r>
      <w:r w:rsidRPr="00CA5693">
        <w:rPr>
          <w:vertAlign w:val="subscript"/>
        </w:rPr>
        <w:t>3</w:t>
      </w:r>
      <w:r>
        <w:t>).</w:t>
      </w:r>
    </w:p>
    <w:p w:rsidR="00544D39" w:rsidRPr="00CA5693" w:rsidRDefault="00544D39" w:rsidP="00544D3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b) In ein weiteres DEWAR-Gefäß werden 100 </w:t>
      </w:r>
      <w:proofErr w:type="spellStart"/>
      <w:r>
        <w:t>mL</w:t>
      </w:r>
      <w:proofErr w:type="spellEnd"/>
      <w:r>
        <w:t xml:space="preserve"> Natronlauge vorgelegt, 1 g Aluminium wird hinzugegeben. Die Temperatur T</w:t>
      </w:r>
      <w:r w:rsidRPr="00CA5693">
        <w:rPr>
          <w:vertAlign w:val="subscript"/>
        </w:rPr>
        <w:t>4</w:t>
      </w:r>
      <w:r>
        <w:t xml:space="preserve"> wird bestimmt.  Nach Umrühren und Ende der Reaktion wird die Temperatur T</w:t>
      </w:r>
      <w:r w:rsidRPr="00CA5693">
        <w:rPr>
          <w:vertAlign w:val="subscript"/>
        </w:rPr>
        <w:t>5</w:t>
      </w:r>
      <w:r>
        <w:t xml:space="preserve"> notiert. Danach werden 60 </w:t>
      </w:r>
      <w:proofErr w:type="spellStart"/>
      <w:r>
        <w:t>mL</w:t>
      </w:r>
      <w:proofErr w:type="spellEnd"/>
      <w:r>
        <w:t xml:space="preserve"> Salzsäure hinzugefügt, nach vorsichtigen Umrühren und Ende der Reaktion wird die Endtemperatur T</w:t>
      </w:r>
      <w:r w:rsidRPr="00CA5693">
        <w:rPr>
          <w:vertAlign w:val="subscript"/>
        </w:rPr>
        <w:t>6</w:t>
      </w:r>
      <w:r>
        <w:t xml:space="preserve"> abgelesen. </w:t>
      </w: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a) Aluminium reagiert mit der verdünnten Salzsäure zu Wasser, Alumin</w:t>
      </w:r>
      <w:r>
        <w:t>i</w:t>
      </w:r>
      <w:r>
        <w:t>um-Ionen und Wasserstoff:</w:t>
      </w:r>
    </w:p>
    <w:p w:rsidR="00544D39" w:rsidRPr="00D301D7" w:rsidRDefault="00544D39" w:rsidP="00544D39">
      <w:r>
        <w:tab/>
      </w:r>
      <w:r>
        <w:tab/>
      </w:r>
      <w:r>
        <w:rPr>
          <w:rFonts w:ascii="Cambria Math" w:hAnsi="Cambria Math"/>
        </w:rPr>
        <w:br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2 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→2 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bSup>
        <m:r>
          <m:rPr>
            <m:sty m:val="p"/>
          </m:rP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(g)</m:t>
                </m:r>
              </m:sub>
            </m:sSub>
          </m:sub>
        </m:sSub>
      </m:oMath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Die Aluminium-Ionen reagieren mit Hydroxid-Ionen zu Aluminiumhydr</w:t>
      </w:r>
      <w:r>
        <w:t>o</w:t>
      </w:r>
      <w:r>
        <w:t xml:space="preserve">xid, welches als weißer Niederschlag ausfällt. Bei weiterer </w:t>
      </w:r>
      <w:r>
        <w:lastRenderedPageBreak/>
        <w:t>Zugabe von Na</w:t>
      </w:r>
      <w:r>
        <w:t>t</w:t>
      </w:r>
      <w:r>
        <w:t xml:space="preserve">ronlauge löst sich der Niederschlag auf, da sich komplexe </w:t>
      </w:r>
      <w:proofErr w:type="spellStart"/>
      <w:r>
        <w:t>Hydroxoaluminat</w:t>
      </w:r>
      <w:proofErr w:type="spellEnd"/>
      <w:r>
        <w:t>-Ionen bilden:</w:t>
      </w:r>
    </w:p>
    <w:p w:rsidR="00544D39" w:rsidRDefault="00544D39" w:rsidP="00544D39">
      <w:pPr>
        <w:tabs>
          <w:tab w:val="left" w:pos="1701"/>
          <w:tab w:val="left" w:pos="1985"/>
        </w:tabs>
        <w:spacing w:after="0"/>
        <w:ind w:left="1980" w:hanging="1980"/>
        <w:rPr>
          <w:rFonts w:eastAsiaTheme="minorEastAsia"/>
          <w:color w:val="auto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Al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3+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+3 O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→Al(OH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(s)</m:t>
                  </m:r>
                </m:sub>
              </m:sSub>
            </m:sub>
          </m:sSub>
        </m:oMath>
      </m:oMathPara>
    </w:p>
    <w:p w:rsidR="00544D39" w:rsidRPr="00DD775C" w:rsidRDefault="00544D39" w:rsidP="00544D39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>
        <w:rPr>
          <w:rFonts w:ascii="Cambria Math" w:hAnsi="Cambria Math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>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(s)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>+O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→[Al(OH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</m:oMath>
      </m:oMathPara>
    </w:p>
    <w:tbl>
      <w:tblPr>
        <w:tblStyle w:val="Tabellengitternetz"/>
        <w:tblW w:w="0" w:type="auto"/>
        <w:tblInd w:w="1980" w:type="dxa"/>
        <w:tblLook w:val="04A0"/>
      </w:tblPr>
      <w:tblGrid>
        <w:gridCol w:w="3635"/>
        <w:gridCol w:w="3673"/>
      </w:tblGrid>
      <w:tr w:rsidR="00544D39" w:rsidTr="001D08B5">
        <w:tc>
          <w:tcPr>
            <w:tcW w:w="4606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T1</w:t>
            </w:r>
          </w:p>
        </w:tc>
        <w:tc>
          <w:tcPr>
            <w:tcW w:w="4606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26 °C</w:t>
            </w:r>
          </w:p>
        </w:tc>
      </w:tr>
      <w:tr w:rsidR="00544D39" w:rsidTr="001D08B5">
        <w:tc>
          <w:tcPr>
            <w:tcW w:w="4606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T2</w:t>
            </w:r>
          </w:p>
        </w:tc>
        <w:tc>
          <w:tcPr>
            <w:tcW w:w="4606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25,8 °C</w:t>
            </w:r>
          </w:p>
        </w:tc>
      </w:tr>
      <w:tr w:rsidR="00544D39" w:rsidTr="001D08B5">
        <w:tc>
          <w:tcPr>
            <w:tcW w:w="4606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T3</w:t>
            </w:r>
          </w:p>
        </w:tc>
        <w:tc>
          <w:tcPr>
            <w:tcW w:w="4606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60,8 °C</w:t>
            </w:r>
          </w:p>
        </w:tc>
      </w:tr>
    </w:tbl>
    <w:p w:rsidR="00544D39" w:rsidRDefault="00544D39" w:rsidP="00544D39">
      <w:pPr>
        <w:tabs>
          <w:tab w:val="left" w:pos="2100"/>
        </w:tabs>
        <w:ind w:left="1980" w:hanging="1980"/>
      </w:pPr>
      <w:r>
        <w:tab/>
      </w:r>
    </w:p>
    <w:p w:rsidR="00544D39" w:rsidRPr="00DD775C" w:rsidRDefault="00544D39" w:rsidP="00544D39">
      <w:pPr>
        <w:tabs>
          <w:tab w:val="left" w:pos="2100"/>
        </w:tabs>
        <w:ind w:left="1980" w:hanging="1980"/>
      </w:pPr>
      <w:r>
        <w:tab/>
        <w:t xml:space="preserve">Aus den gemessenen Temperaturen ergibt sich folgende Temperaturbilanz: </w:t>
      </w:r>
    </w:p>
    <w:p w:rsidR="00544D39" w:rsidRPr="00D301D7" w:rsidRDefault="00544D39" w:rsidP="00544D39">
      <w:pPr>
        <w:tabs>
          <w:tab w:val="left" w:pos="930"/>
        </w:tabs>
      </w:pPr>
      <m:oMathPara>
        <m:oMath>
          <m:r>
            <m:rPr>
              <m:sty m:val="p"/>
            </m:rP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2,1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+∆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3,2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=-0,2 °C+35 °C=34,8 °C</m:t>
          </m:r>
        </m:oMath>
      </m:oMathPara>
    </w:p>
    <w:p w:rsidR="00544D39" w:rsidRDefault="00544D39" w:rsidP="00544D39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 xml:space="preserve">b) Aluminium reagiert mit Wasser unter Bildung von </w:t>
      </w:r>
      <w:proofErr w:type="spellStart"/>
      <w:r>
        <w:t>Hydroxoaluminat</w:t>
      </w:r>
      <w:proofErr w:type="spellEnd"/>
      <w:r>
        <w:t xml:space="preserve">-Ionen und Wasserstoff. Bei Zugabe der Salzsäure reagieren die </w:t>
      </w:r>
      <w:proofErr w:type="spellStart"/>
      <w:r>
        <w:t>Hydronium</w:t>
      </w:r>
      <w:proofErr w:type="spellEnd"/>
      <w:r>
        <w:t xml:space="preserve">-Ionen mit den </w:t>
      </w:r>
      <w:proofErr w:type="spellStart"/>
      <w:r>
        <w:t>Hydroxoaluminat</w:t>
      </w:r>
      <w:proofErr w:type="spellEnd"/>
      <w:r>
        <w:t>-Ionen zu Aluminium-Ionen und Wasser:</w:t>
      </w: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w:r>
        <w:rPr>
          <w:rFonts w:ascii="Cambria Math" w:hAnsi="Cambria Math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Al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+2 O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+10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→2[Al(OH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+3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(g)</m:t>
                  </m:r>
                </m:sub>
              </m:sSub>
            </m:sub>
          </m:sSub>
        </m:oMath>
      </m:oMathPara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[Al(OH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+4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→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Al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3+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+10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</m:oMath>
      </m:oMathPara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</w:pPr>
      <w:r>
        <w:tab/>
      </w:r>
    </w:p>
    <w:tbl>
      <w:tblPr>
        <w:tblStyle w:val="Tabellengitternetz"/>
        <w:tblW w:w="0" w:type="auto"/>
        <w:tblInd w:w="1980" w:type="dxa"/>
        <w:tblLook w:val="04A0"/>
      </w:tblPr>
      <w:tblGrid>
        <w:gridCol w:w="3635"/>
        <w:gridCol w:w="3673"/>
      </w:tblGrid>
      <w:tr w:rsidR="00544D39" w:rsidTr="001D08B5">
        <w:tc>
          <w:tcPr>
            <w:tcW w:w="3635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T4</w:t>
            </w:r>
          </w:p>
        </w:tc>
        <w:tc>
          <w:tcPr>
            <w:tcW w:w="3673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26,3 °C</w:t>
            </w:r>
          </w:p>
        </w:tc>
      </w:tr>
      <w:tr w:rsidR="00544D39" w:rsidTr="001D08B5">
        <w:tc>
          <w:tcPr>
            <w:tcW w:w="3635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T5</w:t>
            </w:r>
          </w:p>
        </w:tc>
        <w:tc>
          <w:tcPr>
            <w:tcW w:w="3673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45,3 °C</w:t>
            </w:r>
          </w:p>
        </w:tc>
      </w:tr>
      <w:tr w:rsidR="00544D39" w:rsidTr="001D08B5">
        <w:tc>
          <w:tcPr>
            <w:tcW w:w="3635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T6</w:t>
            </w:r>
          </w:p>
        </w:tc>
        <w:tc>
          <w:tcPr>
            <w:tcW w:w="3673" w:type="dxa"/>
          </w:tcPr>
          <w:p w:rsidR="00544D39" w:rsidRDefault="00544D39" w:rsidP="001D08B5">
            <w:pPr>
              <w:tabs>
                <w:tab w:val="left" w:pos="1701"/>
                <w:tab w:val="left" w:pos="1985"/>
              </w:tabs>
            </w:pPr>
            <w:r>
              <w:t>61,7 °C</w:t>
            </w:r>
          </w:p>
        </w:tc>
      </w:tr>
    </w:tbl>
    <w:p w:rsidR="00544D39" w:rsidRDefault="00544D39" w:rsidP="00544D39">
      <w:pPr>
        <w:tabs>
          <w:tab w:val="left" w:pos="2100"/>
        </w:tabs>
        <w:ind w:left="1980" w:hanging="1980"/>
      </w:pPr>
      <w:r>
        <w:tab/>
      </w:r>
    </w:p>
    <w:p w:rsidR="00544D39" w:rsidRPr="00DD775C" w:rsidRDefault="00544D39" w:rsidP="00544D39">
      <w:pPr>
        <w:tabs>
          <w:tab w:val="left" w:pos="2100"/>
        </w:tabs>
        <w:ind w:left="1980" w:hanging="1980"/>
      </w:pPr>
      <w:r>
        <w:tab/>
        <w:t xml:space="preserve">Aus den gemessenen Temperaturen ergibt sich folgende Temperaturbilanz: </w:t>
      </w:r>
    </w:p>
    <w:p w:rsidR="00544D39" w:rsidRPr="00D301D7" w:rsidRDefault="00544D39" w:rsidP="00544D39">
      <w:pPr>
        <w:tabs>
          <w:tab w:val="left" w:pos="930"/>
        </w:tabs>
      </w:pPr>
      <m:oMathPara>
        <m:oMath>
          <m:r>
            <m:rPr>
              <m:sty m:val="p"/>
            </m:rP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5,4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+∆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6,5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=19 °C+16,4 °C=35,4 °C</m:t>
          </m:r>
        </m:oMath>
      </m:oMathPara>
    </w:p>
    <w:p w:rsidR="00544D39" w:rsidRDefault="00544D39" w:rsidP="00544D39">
      <w:pPr>
        <w:tabs>
          <w:tab w:val="left" w:pos="1985"/>
        </w:tabs>
        <w:ind w:left="1980"/>
      </w:pPr>
      <w:r>
        <w:t>Ein Vergleich der Differenzen in a) und b) zeigt nur geringfügige Unte</w:t>
      </w:r>
      <w:r>
        <w:t>r</w:t>
      </w:r>
      <w:r>
        <w:t xml:space="preserve">schiede. Dieser Versuch verdeutlicht, dass bei Verwendung der gleichen Massen, aber geänderten Reaktionswegen die gleiche Temperaturdifferenz festgestellt werden kann. Es ist gleichgültig, ob die Bildung von </w:t>
      </w:r>
      <w:proofErr w:type="spellStart"/>
      <w:r>
        <w:t>Hydroxoaluminat</w:t>
      </w:r>
      <w:proofErr w:type="spellEnd"/>
      <w:r>
        <w:t xml:space="preserve"> über hydratisierte Aluminium-Ionen und </w:t>
      </w:r>
      <w:r>
        <w:lastRenderedPageBreak/>
        <w:t>Aluminiu</w:t>
      </w:r>
      <w:r>
        <w:t>m</w:t>
      </w:r>
      <w:r>
        <w:t>hydroxid oder in einem Schritt aus Aluminium und Natronlauge erfolgt. Der Versuch zeigt, dass die Reaktionsenthalpie eine Zustandsgröße ist, sie ist daher unabhängig vom Weg der Reaktion.</w:t>
      </w: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71755</wp:posOffset>
            </wp:positionV>
            <wp:extent cx="2200275" cy="3429000"/>
            <wp:effectExtent l="19050" t="0" r="9525" b="0"/>
            <wp:wrapTight wrapText="bothSides">
              <wp:wrapPolygon edited="0">
                <wp:start x="-187" y="0"/>
                <wp:lineTo x="-187" y="21480"/>
                <wp:lineTo x="21694" y="21480"/>
                <wp:lineTo x="21694" y="0"/>
                <wp:lineTo x="-187" y="0"/>
              </wp:wrapPolygon>
            </wp:wrapTight>
            <wp:docPr id="8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  <w:ind w:left="1980" w:hanging="1980"/>
      </w:pPr>
    </w:p>
    <w:p w:rsidR="00544D39" w:rsidRDefault="00544D39" w:rsidP="00544D39">
      <w:pPr>
        <w:tabs>
          <w:tab w:val="left" w:pos="1701"/>
          <w:tab w:val="left" w:pos="19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9pt;margin-top:15.85pt;width:173.25pt;height:21.35pt;z-index:251661312" wrapcoords="-94 0 -94 21046 21600 21046 21600 0 -94 0" stroked="f">
            <v:textbox inset="0,0,0,0">
              <w:txbxContent>
                <w:p w:rsidR="00544D39" w:rsidRPr="00913EEE" w:rsidRDefault="00544D39" w:rsidP="00544D39">
                  <w:pPr>
                    <w:pStyle w:val="Beschriftung"/>
                    <w:rPr>
                      <w:noProof/>
                      <w:color w:val="1D1B11" w:themeColor="background2" w:themeShade="1A"/>
                    </w:rPr>
                  </w:pPr>
                  <w:r>
                    <w:t>Abb.3- Aufbau zur Ermittlung der Temper</w:t>
                  </w:r>
                  <w:r>
                    <w:t>a</w:t>
                  </w:r>
                  <w:r>
                    <w:t>turbilanz.</w:t>
                  </w:r>
                </w:p>
              </w:txbxContent>
            </v:textbox>
            <w10:wrap type="tight"/>
          </v:shape>
        </w:pict>
      </w:r>
    </w:p>
    <w:p w:rsidR="00544D39" w:rsidRDefault="00544D39" w:rsidP="00544D39">
      <w:pPr>
        <w:tabs>
          <w:tab w:val="left" w:pos="1701"/>
          <w:tab w:val="left" w:pos="1985"/>
        </w:tabs>
      </w:pPr>
      <w:r>
        <w:tab/>
      </w:r>
    </w:p>
    <w:p w:rsidR="00544D39" w:rsidRDefault="00544D39" w:rsidP="00544D39">
      <w:pPr>
        <w:tabs>
          <w:tab w:val="left" w:pos="1701"/>
          <w:tab w:val="left" w:pos="1985"/>
        </w:tabs>
        <w:ind w:left="2124" w:hanging="2124"/>
      </w:pPr>
      <w:r>
        <w:t>Entsorgung:</w:t>
      </w:r>
      <w:r>
        <w:tab/>
        <w:t xml:space="preserve"> </w:t>
      </w:r>
      <w:r>
        <w:tab/>
      </w:r>
      <w:r>
        <w:tab/>
        <w:t>Die wässrigen Lösungen werden neutralisiert und über das Abwasser entsorgt.</w:t>
      </w:r>
    </w:p>
    <w:p w:rsidR="00544D39" w:rsidRPr="00FD7220" w:rsidRDefault="00544D39" w:rsidP="00544D39">
      <w:pPr>
        <w:ind w:left="2124" w:hanging="2124"/>
        <w:jc w:val="left"/>
        <w:rPr>
          <w:rFonts w:asciiTheme="majorHAnsi" w:hAnsiTheme="majorHAnsi"/>
        </w:rPr>
      </w:pPr>
      <w:r>
        <w:t>Literatur:</w:t>
      </w:r>
      <w:r>
        <w:tab/>
      </w:r>
      <w:proofErr w:type="spellStart"/>
      <w:r>
        <w:rPr>
          <w:color w:val="auto"/>
        </w:rPr>
        <w:t>Keune</w:t>
      </w:r>
      <w:proofErr w:type="spellEnd"/>
      <w:r>
        <w:rPr>
          <w:color w:val="auto"/>
        </w:rPr>
        <w:t xml:space="preserve">, H., </w:t>
      </w:r>
      <w:proofErr w:type="spellStart"/>
      <w:r>
        <w:rPr>
          <w:color w:val="auto"/>
        </w:rPr>
        <w:t>Böhland</w:t>
      </w:r>
      <w:proofErr w:type="spellEnd"/>
      <w:r>
        <w:rPr>
          <w:color w:val="auto"/>
        </w:rPr>
        <w:t>, H. (Hrsg.)- Chemische Schulexperimente Band 3. Al</w:t>
      </w:r>
      <w:r>
        <w:rPr>
          <w:color w:val="auto"/>
        </w:rPr>
        <w:t>l</w:t>
      </w:r>
      <w:r>
        <w:rPr>
          <w:color w:val="auto"/>
        </w:rPr>
        <w:t>gemeine, physikalische und analytische Chemie. Chemie und Umwelt. Be</w:t>
      </w:r>
      <w:r>
        <w:rPr>
          <w:color w:val="auto"/>
        </w:rPr>
        <w:t>r</w:t>
      </w:r>
      <w:r>
        <w:rPr>
          <w:color w:val="auto"/>
        </w:rPr>
        <w:t>lin: Volk und Wissen Verlag.</w:t>
      </w:r>
    </w:p>
    <w:p w:rsidR="00D54C31" w:rsidRDefault="00AF49CE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D39"/>
    <w:rsid w:val="003F61E8"/>
    <w:rsid w:val="00544D39"/>
    <w:rsid w:val="006838B0"/>
    <w:rsid w:val="00741064"/>
    <w:rsid w:val="00AF49CE"/>
    <w:rsid w:val="00BC2645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D3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4D3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4D3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4D3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4D3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4D3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4D3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4D3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4D3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4D3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4D3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4D3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4D3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4D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4D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4D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4D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4D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4D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44D39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59"/>
    <w:rsid w:val="00544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D3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2706</Characters>
  <Application>Microsoft Office Word</Application>
  <DocSecurity>0</DocSecurity>
  <Lines>22</Lines>
  <Paragraphs>6</Paragraphs>
  <ScaleCrop>false</ScaleCrop>
  <Company>Frost-RL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2015-08-21T14:33:00Z</dcterms:created>
  <dcterms:modified xsi:type="dcterms:W3CDTF">2015-08-21T14:33:00Z</dcterms:modified>
</cp:coreProperties>
</file>