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49" w:rsidRPr="0052115F" w:rsidRDefault="004B1449" w:rsidP="004B1449">
      <w:pPr>
        <w:tabs>
          <w:tab w:val="left" w:pos="1701"/>
          <w:tab w:val="left" w:pos="1985"/>
        </w:tabs>
        <w:rPr>
          <w:color w:val="auto"/>
        </w:rPr>
      </w:pPr>
      <w:r w:rsidRPr="0052115F">
        <w:rPr>
          <w:color w:val="auto"/>
        </w:rPr>
        <w:t xml:space="preserve">Thema: </w:t>
      </w:r>
      <w:r>
        <w:rPr>
          <w:color w:val="auto"/>
        </w:rPr>
        <w:t>Enthalpie und Entropie</w:t>
      </w:r>
      <w:r w:rsidRPr="0052115F">
        <w:rPr>
          <w:color w:val="auto"/>
        </w:rPr>
        <w:t xml:space="preserve"> –</w:t>
      </w:r>
      <w:r>
        <w:rPr>
          <w:color w:val="auto"/>
        </w:rPr>
        <w:t xml:space="preserve"> Klasse 11/12</w:t>
      </w:r>
    </w:p>
    <w:p w:rsidR="004B1449" w:rsidRDefault="004B1449" w:rsidP="004B1449">
      <w:pPr>
        <w:tabs>
          <w:tab w:val="left" w:pos="1701"/>
          <w:tab w:val="left" w:pos="1985"/>
        </w:tabs>
        <w:rPr>
          <w:b/>
          <w:color w:val="auto"/>
          <w:sz w:val="28"/>
        </w:rPr>
      </w:pPr>
      <w:r>
        <w:rPr>
          <w:b/>
          <w:color w:val="auto"/>
          <w:sz w:val="28"/>
        </w:rPr>
        <w:t>Enthalpie und Entropie- Triebkräfte chemischer Reaktionen</w:t>
      </w:r>
    </w:p>
    <w:p w:rsidR="004B1449" w:rsidRPr="002D7722" w:rsidRDefault="004B1449" w:rsidP="004B1449">
      <w:pPr>
        <w:tabs>
          <w:tab w:val="left" w:pos="1701"/>
          <w:tab w:val="left" w:pos="1985"/>
        </w:tabs>
        <w:rPr>
          <w:b/>
          <w:color w:val="auto"/>
          <w:sz w:val="28"/>
        </w:rPr>
      </w:pPr>
      <w:r>
        <w:rPr>
          <w:color w:val="auto"/>
        </w:rPr>
        <w:t xml:space="preserve">Das Zusammenspiel zwischen Enthalpie und Entropie bestimmt, ob eine chemische Reaktion freiwillig abläuft oder nicht. In den letzten Stunden haben Sie kalorimetrisch </w:t>
      </w:r>
      <w:proofErr w:type="spellStart"/>
      <w:r>
        <w:rPr>
          <w:color w:val="auto"/>
        </w:rPr>
        <w:t>Reaktionsenthalpien</w:t>
      </w:r>
      <w:proofErr w:type="spellEnd"/>
      <w:r>
        <w:rPr>
          <w:color w:val="auto"/>
        </w:rPr>
        <w:t xml:space="preserve"> bestimmt. Standardreaktionsenthalpie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bSup>
      </m:oMath>
      <w:r>
        <w:rPr>
          <w:rFonts w:eastAsiaTheme="minorEastAsia"/>
        </w:rPr>
        <w:t xml:space="preserve"> lassen sich allerdings auch theoretisch aus den molaren </w:t>
      </w:r>
      <w:proofErr w:type="spellStart"/>
      <w:r>
        <w:rPr>
          <w:rFonts w:eastAsiaTheme="minorEastAsia"/>
        </w:rPr>
        <w:t>Standardbildungsenthalpien</w:t>
      </w:r>
      <w:proofErr w:type="spellEnd"/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f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bSup>
      </m:oMath>
      <w:r>
        <w:rPr>
          <w:rFonts w:eastAsiaTheme="minorEastAsia"/>
        </w:rPr>
        <w:t xml:space="preserve"> berechnen.</w:t>
      </w:r>
    </w:p>
    <w:p w:rsidR="004B1449" w:rsidRDefault="004B1449" w:rsidP="004B1449">
      <w:pPr>
        <w:keepNext/>
        <w:spacing w:after="0"/>
      </w:pPr>
      <w:r w:rsidRPr="00D91BDF">
        <w:rPr>
          <w:noProof/>
          <w:color w:val="auto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15pt;margin-top:3.75pt;width:458.5pt;height:317.9pt;z-index:251660288">
            <v:textbox style="mso-next-textbox:#_x0000_s1026">
              <w:txbxContent>
                <w:p w:rsidR="004B1449" w:rsidRDefault="004B1449" w:rsidP="004B1449">
                  <w:pPr>
                    <w:jc w:val="left"/>
                  </w:pPr>
                  <w:r>
                    <w:rPr>
                      <w:b/>
                    </w:rPr>
                    <w:t xml:space="preserve">Aufgabe 1: </w:t>
                  </w:r>
                  <w:r>
                    <w:t>Berechnen Sie die Standardreaktionsenthalpie für folgende Reaktion:</w:t>
                  </w:r>
                </w:p>
                <w:p w:rsidR="004B1449" w:rsidRPr="00BF39D7" w:rsidRDefault="004B1449" w:rsidP="004B1449">
                  <w:pPr>
                    <w:ind w:firstLine="708"/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(l)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→2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(g)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(g)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  <w:p w:rsidR="004B1449" w:rsidRDefault="004B1449" w:rsidP="004B1449">
                  <w:pPr>
                    <w:jc w:val="left"/>
                    <w:rPr>
                      <w:rFonts w:eastAsiaTheme="minorEastAsia"/>
                    </w:rPr>
                  </w:pPr>
                  <w:r w:rsidRPr="00BE5298">
                    <w:rPr>
                      <w:b/>
                    </w:rPr>
                    <w:t>Hinweis:</w:t>
                  </w:r>
                  <w:r>
                    <w:rPr>
                      <w:b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[γ(Produkte)∙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∆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e>
                    </m:nary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(Produkte)]-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[γ(Edukte)∙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p>
                        </m:sSubSup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(Edukte)]</m:t>
                    </m:r>
                  </m:oMath>
                </w:p>
                <w:p w:rsidR="004B1449" w:rsidRPr="008B2F7D" w:rsidRDefault="004B1449" w:rsidP="004B1449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f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=-286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kJ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mol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f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=0;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f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=0</m:t>
                      </m:r>
                    </m:oMath>
                  </m:oMathPara>
                </w:p>
                <w:p w:rsidR="004B1449" w:rsidRDefault="004B1449" w:rsidP="004B1449">
                  <w:pPr>
                    <w:rPr>
                      <w:b/>
                    </w:rPr>
                  </w:pPr>
                </w:p>
                <w:p w:rsidR="004B1449" w:rsidRDefault="004B1449" w:rsidP="004B1449">
                  <w:r>
                    <w:rPr>
                      <w:b/>
                    </w:rPr>
                    <w:t>Aufgabe 2</w:t>
                  </w:r>
                  <w:r>
                    <w:t>: Stellen Sie in einer Formel den Zusammenhang zwischen Reaktionsenthalpie und Entropie dar. Benennen Sie die verwendeten Parameter und gebe Sie den Namen der Formel an.</w:t>
                  </w:r>
                </w:p>
                <w:p w:rsidR="004B1449" w:rsidRDefault="004B1449" w:rsidP="004B1449">
                  <w:r w:rsidRPr="002D3267">
                    <w:rPr>
                      <w:b/>
                    </w:rPr>
                    <w:t xml:space="preserve">Aufgabe </w:t>
                  </w:r>
                  <w:r>
                    <w:rPr>
                      <w:b/>
                    </w:rPr>
                    <w:t xml:space="preserve">3: </w:t>
                  </w:r>
                  <w:r>
                    <w:t>Berechnen Sie ausgehend von Aufgabe 1 und 2 die freie Standardreaktionsentha</w:t>
                  </w:r>
                  <w:r>
                    <w:t>l</w:t>
                  </w:r>
                  <w:r>
                    <w:t xml:space="preserve">pie </w:t>
                  </w:r>
                  <w:r>
                    <w:rPr>
                      <w:rFonts w:ascii="Times New Roman" w:hAnsi="Times New Roman" w:cs="Times New Roman"/>
                    </w:rPr>
                    <w:t>Δ</w:t>
                  </w:r>
                  <w:r w:rsidRPr="009E2AFB">
                    <w:rPr>
                      <w:vertAlign w:val="subscript"/>
                    </w:rPr>
                    <w:t>r</w:t>
                  </w:r>
                  <w:r>
                    <w:t>G</w:t>
                  </w:r>
                  <w:r w:rsidRPr="009E2AFB">
                    <w:rPr>
                      <w:vertAlign w:val="subscript"/>
                    </w:rPr>
                    <w:t>m</w:t>
                  </w:r>
                  <w:r w:rsidRPr="009E2AFB">
                    <w:rPr>
                      <w:vertAlign w:val="superscript"/>
                    </w:rPr>
                    <w:t>0</w:t>
                  </w:r>
                  <w:r>
                    <w:t xml:space="preserve"> der Zerlegung von Wasser in seine Elemente.</w:t>
                  </w:r>
                </w:p>
                <w:p w:rsidR="004B1449" w:rsidRPr="00D326D6" w:rsidRDefault="004B1449" w:rsidP="004B1449">
                  <w:pPr>
                    <w:rPr>
                      <w:b/>
                    </w:rPr>
                  </w:pPr>
                  <w:r w:rsidRPr="00D326D6">
                    <w:rPr>
                      <w:b/>
                    </w:rPr>
                    <w:t>Hinweis:</w:t>
                  </w:r>
                  <w:r>
                    <w:rPr>
                      <w:b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=70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K∙mol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=131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K∙mol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;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=205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K∙mol</m:t>
                        </m:r>
                      </m:den>
                    </m:f>
                  </m:oMath>
                  <w:r>
                    <w:rPr>
                      <w:rFonts w:eastAsiaTheme="minorEastAsia"/>
                      <w:color w:val="auto"/>
                    </w:rPr>
                    <w:t>; T= 298 K</w:t>
                  </w:r>
                </w:p>
                <w:p w:rsidR="004B1449" w:rsidRPr="00D326D6" w:rsidRDefault="004B1449" w:rsidP="004B1449"/>
              </w:txbxContent>
            </v:textbox>
          </v:shape>
        </w:pict>
      </w:r>
      <w:r>
        <w:br w:type="textWrapping" w:clear="all"/>
        <w:t xml:space="preserve"> </w:t>
      </w:r>
    </w:p>
    <w:p w:rsidR="004B1449" w:rsidRPr="003342AC" w:rsidRDefault="004B1449" w:rsidP="004B1449"/>
    <w:p w:rsidR="004B1449" w:rsidRPr="003342AC" w:rsidRDefault="004B1449" w:rsidP="004B1449"/>
    <w:p w:rsidR="004B1449" w:rsidRPr="003342AC" w:rsidRDefault="004B1449" w:rsidP="004B1449"/>
    <w:p w:rsidR="004B1449" w:rsidRPr="003342AC" w:rsidRDefault="004B1449" w:rsidP="004B1449"/>
    <w:p w:rsidR="004B1449" w:rsidRPr="003342AC" w:rsidRDefault="004B1449" w:rsidP="004B1449"/>
    <w:p w:rsidR="004B1449" w:rsidRPr="003342AC" w:rsidRDefault="004B1449" w:rsidP="004B1449"/>
    <w:p w:rsidR="004B1449" w:rsidRPr="003342AC" w:rsidRDefault="004B1449" w:rsidP="004B1449"/>
    <w:p w:rsidR="004B1449" w:rsidRPr="003342AC" w:rsidRDefault="004B1449" w:rsidP="004B1449"/>
    <w:p w:rsidR="004B1449" w:rsidRDefault="004B1449" w:rsidP="004B1449"/>
    <w:p w:rsidR="004B1449" w:rsidRDefault="004B1449" w:rsidP="004B1449">
      <w:pPr>
        <w:ind w:firstLine="708"/>
      </w:pPr>
    </w:p>
    <w:p w:rsidR="004B1449" w:rsidRDefault="004B1449" w:rsidP="004B1449"/>
    <w:p w:rsidR="004B1449" w:rsidRPr="003342AC" w:rsidRDefault="004B1449" w:rsidP="004B1449">
      <w:pPr>
        <w:sectPr w:rsidR="004B1449" w:rsidRPr="003342AC" w:rsidSect="0049087A">
          <w:headerReference w:type="default" r:id="rId5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4B1449" w:rsidRDefault="004B1449" w:rsidP="004B1449">
      <w:pPr>
        <w:pStyle w:val="berschrift1"/>
        <w:numPr>
          <w:ilvl w:val="0"/>
          <w:numId w:val="0"/>
        </w:numPr>
        <w:ind w:left="432" w:hanging="432"/>
        <w:rPr>
          <w:color w:val="auto"/>
        </w:rPr>
      </w:pPr>
      <w:bookmarkStart w:id="0" w:name="_Toc427765698"/>
      <w:r w:rsidRPr="0052115F">
        <w:rPr>
          <w:color w:val="auto"/>
        </w:rPr>
        <w:lastRenderedPageBreak/>
        <w:t>Didaktischer Kommentar zum Schülerarbeitsblatt</w:t>
      </w:r>
      <w:bookmarkEnd w:id="0"/>
      <w:r w:rsidRPr="0052115F">
        <w:rPr>
          <w:color w:val="auto"/>
        </w:rPr>
        <w:t xml:space="preserve"> </w:t>
      </w:r>
    </w:p>
    <w:p w:rsidR="004B1449" w:rsidRDefault="004B1449" w:rsidP="004B1449">
      <w:r>
        <w:t xml:space="preserve">Es wird vorausgesetzt, dass die </w:t>
      </w:r>
      <w:proofErr w:type="spellStart"/>
      <w:r>
        <w:t>SuS</w:t>
      </w:r>
      <w:proofErr w:type="spellEnd"/>
      <w:r>
        <w:t xml:space="preserve"> im Unterricht bereits das Zusammenspiel zwischen Entha</w:t>
      </w:r>
      <w:r>
        <w:t>l</w:t>
      </w:r>
      <w:r>
        <w:t xml:space="preserve">pie und Entropie behandelt haben. Außerdem haben sie </w:t>
      </w:r>
      <w:proofErr w:type="spellStart"/>
      <w:r>
        <w:t>Reaktionsenthalpien</w:t>
      </w:r>
      <w:proofErr w:type="spellEnd"/>
      <w:r>
        <w:t xml:space="preserve"> kalorimetrisch ermittelt und sind daher in der Lage diese Größe zu verstehen. Dass </w:t>
      </w:r>
      <w:proofErr w:type="spellStart"/>
      <w:r>
        <w:t>Reaktionsenthalpien</w:t>
      </w:r>
      <w:proofErr w:type="spellEnd"/>
      <w:r>
        <w:t xml:space="preserve"> auch über </w:t>
      </w:r>
      <w:proofErr w:type="spellStart"/>
      <w:r>
        <w:t>Standardbildungsenthalpien</w:t>
      </w:r>
      <w:proofErr w:type="spellEnd"/>
      <w:r>
        <w:t xml:space="preserve"> berechnet werden können, soll den </w:t>
      </w:r>
      <w:proofErr w:type="spellStart"/>
      <w:r>
        <w:t>SuS</w:t>
      </w:r>
      <w:proofErr w:type="spellEnd"/>
      <w:r>
        <w:t xml:space="preserve"> mit diesem Arbeit</w:t>
      </w:r>
      <w:r>
        <w:t>s</w:t>
      </w:r>
      <w:r>
        <w:t>blatt gezeigt werden</w:t>
      </w:r>
      <w:r w:rsidRPr="00155CF3">
        <w:rPr>
          <w:color w:val="000000" w:themeColor="text1"/>
        </w:rPr>
        <w:t xml:space="preserve">. Im Kerncurriculum wird als Lernziel formuliert, dass die </w:t>
      </w:r>
      <w:proofErr w:type="spellStart"/>
      <w:r w:rsidRPr="00155CF3">
        <w:rPr>
          <w:color w:val="000000" w:themeColor="text1"/>
        </w:rPr>
        <w:t>SuS</w:t>
      </w:r>
      <w:proofErr w:type="spellEnd"/>
      <w:r w:rsidRPr="00155CF3">
        <w:rPr>
          <w:color w:val="000000" w:themeColor="text1"/>
        </w:rPr>
        <w:t xml:space="preserve"> tabellierte Daten zu </w:t>
      </w:r>
      <w:proofErr w:type="spellStart"/>
      <w:r w:rsidRPr="00155CF3">
        <w:rPr>
          <w:color w:val="000000" w:themeColor="text1"/>
        </w:rPr>
        <w:t>Standardbildungsenthalpien</w:t>
      </w:r>
      <w:proofErr w:type="spellEnd"/>
      <w:r w:rsidRPr="00155CF3">
        <w:rPr>
          <w:color w:val="000000" w:themeColor="text1"/>
        </w:rPr>
        <w:t xml:space="preserve"> nutzen sollen, um aus ihnen </w:t>
      </w:r>
      <w:proofErr w:type="spellStart"/>
      <w:r w:rsidRPr="00155CF3">
        <w:rPr>
          <w:color w:val="000000" w:themeColor="text1"/>
        </w:rPr>
        <w:t>Standardreaktionsenthalpien</w:t>
      </w:r>
      <w:proofErr w:type="spellEnd"/>
      <w:r w:rsidRPr="00155CF3">
        <w:rPr>
          <w:color w:val="000000" w:themeColor="text1"/>
        </w:rPr>
        <w:t xml:space="preserve"> zu berechnen (Aufgabe 1: Standardreaktionsenthalpie, Aufgabe 3: freie Reaktionsenthalpie).  Das Hauptaugenmerk dieses Arbeitsblattes liegt auf dem Erreichen dieses Lernziels. Gleichzeitig dient es der Überprüfung, ob die </w:t>
      </w:r>
      <w:proofErr w:type="spellStart"/>
      <w:r w:rsidRPr="00155CF3">
        <w:rPr>
          <w:color w:val="000000" w:themeColor="text1"/>
        </w:rPr>
        <w:t>SuS</w:t>
      </w:r>
      <w:proofErr w:type="spellEnd"/>
      <w:r w:rsidRPr="00155CF3">
        <w:rPr>
          <w:color w:val="000000" w:themeColor="text1"/>
        </w:rPr>
        <w:t xml:space="preserve"> den Zusammenhang zwischen Enthalpie und Entropie ve</w:t>
      </w:r>
      <w:r w:rsidRPr="00155CF3">
        <w:rPr>
          <w:color w:val="000000" w:themeColor="text1"/>
        </w:rPr>
        <w:t>r</w:t>
      </w:r>
      <w:r w:rsidRPr="00155CF3">
        <w:rPr>
          <w:color w:val="000000" w:themeColor="text1"/>
        </w:rPr>
        <w:t xml:space="preserve">standen und diesen in der Gibbs-Helmholtz-Gleichung wiedergeben können (Aufgabe 2). Die größte Herausforderung des Arbeitsblattes ist Aufgabe 3, in der den </w:t>
      </w:r>
      <w:proofErr w:type="spellStart"/>
      <w:r w:rsidRPr="00155CF3">
        <w:rPr>
          <w:color w:val="000000" w:themeColor="text1"/>
        </w:rPr>
        <w:t>SuS</w:t>
      </w:r>
      <w:proofErr w:type="spellEnd"/>
      <w:r w:rsidRPr="00155CF3">
        <w:rPr>
          <w:color w:val="000000" w:themeColor="text1"/>
        </w:rPr>
        <w:t xml:space="preserve"> eine Verknüpfung ihres Vorwissens (Aufgabe 2, Gibbs-Helmholtz-Gleichung) mit den neu gelernten Rechnungen (Aufg</w:t>
      </w:r>
      <w:r w:rsidRPr="00155CF3">
        <w:rPr>
          <w:color w:val="000000" w:themeColor="text1"/>
        </w:rPr>
        <w:t>a</w:t>
      </w:r>
      <w:r w:rsidRPr="00155CF3">
        <w:rPr>
          <w:color w:val="000000" w:themeColor="text1"/>
        </w:rPr>
        <w:t>be 1) gelingen muss.</w:t>
      </w:r>
      <w:r>
        <w:rPr>
          <w:color w:val="FF0000"/>
        </w:rPr>
        <w:t xml:space="preserve"> </w:t>
      </w:r>
      <w:r>
        <w:t>Das Arbeitsblatt muss nicht zwangsläufig an einen der vorgestellten Vers</w:t>
      </w:r>
      <w:r>
        <w:t>u</w:t>
      </w:r>
      <w:r>
        <w:t xml:space="preserve">che anknüpfen, kann aber in Anschluss an V1 eingesetzt werden. In diesem Fall, sollte den </w:t>
      </w:r>
      <w:proofErr w:type="spellStart"/>
      <w:r>
        <w:t>SuS</w:t>
      </w:r>
      <w:proofErr w:type="spellEnd"/>
      <w:r>
        <w:t xml:space="preserve"> die Bearbeitung der 2. Aufgabe leicht fallen, da der Inhalt im Anschluss an V1 bereits im Unte</w:t>
      </w:r>
      <w:r>
        <w:t>r</w:t>
      </w:r>
      <w:r>
        <w:t xml:space="preserve">richt thematisiert worden ist. </w:t>
      </w:r>
    </w:p>
    <w:p w:rsidR="004B1449" w:rsidRDefault="004B1449" w:rsidP="004B1449"/>
    <w:p w:rsidR="004B1449" w:rsidRDefault="004B1449" w:rsidP="004B1449">
      <w:pPr>
        <w:pStyle w:val="berschrift2"/>
        <w:numPr>
          <w:ilvl w:val="0"/>
          <w:numId w:val="0"/>
        </w:numPr>
        <w:ind w:left="576" w:hanging="576"/>
        <w:rPr>
          <w:color w:val="auto"/>
        </w:rPr>
      </w:pPr>
      <w:bookmarkStart w:id="1" w:name="_Toc427765699"/>
      <w:r w:rsidRPr="0052115F">
        <w:rPr>
          <w:color w:val="auto"/>
        </w:rPr>
        <w:t>Erwartungshorizont (</w:t>
      </w:r>
      <w:r>
        <w:rPr>
          <w:color w:val="auto"/>
        </w:rPr>
        <w:t>Kerncurriculum</w:t>
      </w:r>
      <w:r w:rsidRPr="0052115F">
        <w:rPr>
          <w:color w:val="auto"/>
        </w:rPr>
        <w:t>)</w:t>
      </w:r>
      <w:bookmarkEnd w:id="1"/>
    </w:p>
    <w:p w:rsidR="004B1449" w:rsidRDefault="004B1449" w:rsidP="004B1449">
      <w:r>
        <w:t xml:space="preserve">In Aufgabe 1 sollen die </w:t>
      </w:r>
      <w:proofErr w:type="spellStart"/>
      <w:r>
        <w:t>SuS</w:t>
      </w:r>
      <w:proofErr w:type="spellEnd"/>
      <w:r>
        <w:t xml:space="preserve"> tabellierte Daten zur Berechnung von </w:t>
      </w:r>
      <w:proofErr w:type="spellStart"/>
      <w:r>
        <w:t>Standardreaktionsenthalpien</w:t>
      </w:r>
      <w:proofErr w:type="spellEnd"/>
      <w:r>
        <w:t xml:space="preserve"> aus </w:t>
      </w:r>
      <w:proofErr w:type="spellStart"/>
      <w:r>
        <w:t>Standardbildungsenthalpien</w:t>
      </w:r>
      <w:proofErr w:type="spellEnd"/>
      <w:r>
        <w:t xml:space="preserve"> nutzen (vgl. Kerncurriculum, Basiskonzept Energie, Komp</w:t>
      </w:r>
      <w:r>
        <w:t>e</w:t>
      </w:r>
      <w:r>
        <w:t>tenzbereich Erkenntnisgewinnung). Zuvor haben sie im Unterricht noch nicht mit diesen Daten gerechnet, sodass die Aufgabe im Anforderungsbereich 2 einzuordnen ist. Anforderungsbereich 3 wird nicht gewählt, da in der Aufgabe die Formel für die Berechnung bereits aufgeführt ist.</w:t>
      </w:r>
    </w:p>
    <w:p w:rsidR="004B1449" w:rsidRDefault="004B1449" w:rsidP="004B1449">
      <w:r>
        <w:t xml:space="preserve">Aufgabe 2 lässt sich Anforderungsbereich 1 zuordnen. Hier sollen die </w:t>
      </w:r>
      <w:proofErr w:type="spellStart"/>
      <w:r>
        <w:t>SuS</w:t>
      </w:r>
      <w:proofErr w:type="spellEnd"/>
      <w:r>
        <w:t xml:space="preserve"> den Zusammenhang zwischen Enthalpie und Entropie darstellen, eine reine Reproduktionsaufgabe, da in den Unte</w:t>
      </w:r>
      <w:r>
        <w:t>r</w:t>
      </w:r>
      <w:r>
        <w:t>richtsstunden zuvor der Zusammenhang behandelt worden ist (V1).</w:t>
      </w:r>
    </w:p>
    <w:p w:rsidR="004B1449" w:rsidRPr="001C0019" w:rsidRDefault="004B1449" w:rsidP="004B1449">
      <w:r>
        <w:t xml:space="preserve">Aufgabe 3 verknüpft Aufgabe 1 und 2. Im Gegensatz zu Aufgabe 1 ist den </w:t>
      </w:r>
      <w:proofErr w:type="spellStart"/>
      <w:r>
        <w:t>SuS</w:t>
      </w:r>
      <w:proofErr w:type="spellEnd"/>
      <w:r>
        <w:t xml:space="preserve"> hier die Formel zur Berechnung der freien Standardreaktionsenthalpie nicht vorgegeben. Diese müssen sie sich zunächst ausgehend von ihrem Vorwissen (Aufgabe 2) herleiten und im Anschluss die angegeb</w:t>
      </w:r>
      <w:r>
        <w:t>e</w:t>
      </w:r>
      <w:r>
        <w:t xml:space="preserve">nen Werte sinnvoll einsetzen. Auch in dieser Aufgabe werden die </w:t>
      </w:r>
      <w:proofErr w:type="spellStart"/>
      <w:r>
        <w:t>SuS</w:t>
      </w:r>
      <w:proofErr w:type="spellEnd"/>
      <w:r>
        <w:t xml:space="preserve"> im Rechnen mit tabellie</w:t>
      </w:r>
      <w:r>
        <w:t>r</w:t>
      </w:r>
      <w:r>
        <w:t>ten Daten geschult.</w:t>
      </w:r>
    </w:p>
    <w:p w:rsidR="004B1449" w:rsidRDefault="004B1449" w:rsidP="004B1449">
      <w:pPr>
        <w:pStyle w:val="berschrift2"/>
        <w:numPr>
          <w:ilvl w:val="0"/>
          <w:numId w:val="0"/>
        </w:numPr>
        <w:ind w:left="576" w:hanging="576"/>
      </w:pPr>
      <w:bookmarkStart w:id="2" w:name="_Toc427765700"/>
      <w:r w:rsidRPr="004F7C37">
        <w:lastRenderedPageBreak/>
        <w:t>Erwartungshorizont</w:t>
      </w:r>
      <w:r>
        <w:t xml:space="preserve"> (inhaltlich)</w:t>
      </w:r>
      <w:bookmarkEnd w:id="2"/>
    </w:p>
    <w:p w:rsidR="004B1449" w:rsidRDefault="004B1449" w:rsidP="004B1449">
      <w:pPr>
        <w:rPr>
          <w:rFonts w:eastAsiaTheme="minorEastAsia"/>
        </w:rPr>
      </w:pPr>
      <w:r w:rsidRPr="002D7722">
        <w:rPr>
          <w:b/>
        </w:rPr>
        <w:t>Aufgabe 1</w:t>
      </w:r>
      <w:r>
        <w:rPr>
          <w:b/>
        </w:rPr>
        <w:t xml:space="preserve">:        </w:t>
      </w:r>
      <w:r>
        <w:rPr>
          <w:rFonts w:eastAsiaTheme="minorEastAsia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[γ(Produkte)∙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sub>
            </m:sSub>
          </m:e>
        </m:nary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/>
          </w:rPr>
          <m:t>(Produkte)]-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[γ(Edukte)∙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sub>
            </m:sSub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/>
          </w:rPr>
          <m:t>(Edukte)]</m:t>
        </m:r>
      </m:oMath>
    </w:p>
    <w:p w:rsidR="004B1449" w:rsidRDefault="004B1449" w:rsidP="004B144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2∙0+0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kJ-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-2 ∙286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kJ=572 kJ</m:t>
          </m:r>
        </m:oMath>
      </m:oMathPara>
    </w:p>
    <w:p w:rsidR="004B1449" w:rsidRDefault="004B1449" w:rsidP="004B1449">
      <w:pPr>
        <w:rPr>
          <w:rFonts w:eastAsiaTheme="minorEastAsia"/>
        </w:rPr>
      </w:pPr>
      <w:r>
        <w:rPr>
          <w:rFonts w:eastAsiaTheme="minorEastAsia"/>
        </w:rPr>
        <w:t xml:space="preserve">Die Standardreaktionsenthalpie für die Zerlegung von Wasser liegt bei 572 </w:t>
      </w:r>
      <w:proofErr w:type="spellStart"/>
      <w:r>
        <w:rPr>
          <w:rFonts w:eastAsiaTheme="minorEastAsia"/>
        </w:rPr>
        <w:t>kJ</w:t>
      </w:r>
      <w:proofErr w:type="spellEnd"/>
      <w:r>
        <w:rPr>
          <w:rFonts w:eastAsiaTheme="minorEastAsia"/>
        </w:rPr>
        <w:t>. Die molare Sta</w:t>
      </w:r>
      <w:r>
        <w:rPr>
          <w:rFonts w:eastAsiaTheme="minorEastAsia"/>
        </w:rPr>
        <w:t>n</w:t>
      </w:r>
      <w:r>
        <w:rPr>
          <w:rFonts w:eastAsiaTheme="minorEastAsia"/>
        </w:rPr>
        <w:t xml:space="preserve">dardreaktionsenthalpie hat einen Wert </w:t>
      </w:r>
      <w:proofErr w:type="gramStart"/>
      <w:r>
        <w:rPr>
          <w:rFonts w:eastAsiaTheme="minorEastAsia"/>
        </w:rPr>
        <w:t xml:space="preserve">von </w:t>
      </w:r>
      <m:oMath>
        <w:proofErr w:type="gramEnd"/>
        <m:r>
          <w:rPr>
            <w:rFonts w:ascii="Cambria Math" w:eastAsiaTheme="minorEastAsia" w:hAnsi="Cambria Math"/>
          </w:rPr>
          <m:t>286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kJ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den>
        </m:f>
      </m:oMath>
      <w:r>
        <w:rPr>
          <w:rFonts w:eastAsiaTheme="minorEastAsia"/>
        </w:rPr>
        <w:t>.</w:t>
      </w:r>
    </w:p>
    <w:p w:rsidR="004B1449" w:rsidRDefault="004B1449" w:rsidP="004B1449">
      <w:pPr>
        <w:rPr>
          <w:rFonts w:eastAsiaTheme="minorEastAsia"/>
        </w:rPr>
      </w:pPr>
    </w:p>
    <w:p w:rsidR="004B1449" w:rsidRDefault="004B1449" w:rsidP="004B1449">
      <w:pPr>
        <w:rPr>
          <w:rFonts w:eastAsiaTheme="minorEastAsia"/>
        </w:rPr>
      </w:pPr>
      <w:r w:rsidRPr="00376407">
        <w:rPr>
          <w:rFonts w:eastAsiaTheme="minorEastAsia"/>
          <w:b/>
        </w:rPr>
        <w:t>Aufgabe 2:</w:t>
      </w:r>
      <w:r>
        <w:rPr>
          <w:rFonts w:eastAsiaTheme="minorEastAsia"/>
          <w:b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∆G=∆H-T∙∆S</m:t>
        </m:r>
      </m:oMath>
      <w:r>
        <w:rPr>
          <w:rFonts w:eastAsiaTheme="minorEastAsia"/>
        </w:rPr>
        <w:t>. Die Formel wird als Gibbs-Helmholtz-Gleichung bezeichnet, sie ste</w:t>
      </w:r>
      <w:proofErr w:type="spellStart"/>
      <w:r>
        <w:rPr>
          <w:rFonts w:eastAsiaTheme="minorEastAsia"/>
        </w:rPr>
        <w:t>llt</w:t>
      </w:r>
      <w:proofErr w:type="spellEnd"/>
      <w:r>
        <w:rPr>
          <w:rFonts w:eastAsiaTheme="minorEastAsia"/>
        </w:rPr>
        <w:t xml:space="preserve"> einen Zusammenhang zwischen der </w:t>
      </w:r>
      <w:proofErr w:type="spellStart"/>
      <w:r>
        <w:rPr>
          <w:rFonts w:eastAsiaTheme="minorEastAsia"/>
        </w:rPr>
        <w:t>Enthalpieänderung</w:t>
      </w:r>
      <w:proofErr w:type="spellEnd"/>
      <w:r>
        <w:rPr>
          <w:rFonts w:eastAsiaTheme="minorEastAsia"/>
        </w:rPr>
        <w:t xml:space="preserve"> </w:t>
      </w:r>
      <w:r>
        <w:rPr>
          <w:rFonts w:ascii="Times New Roman" w:eastAsiaTheme="minorEastAsia" w:hAnsi="Times New Roman" w:cs="Times New Roman"/>
        </w:rPr>
        <w:t>Δ</w:t>
      </w:r>
      <w:r>
        <w:rPr>
          <w:rFonts w:eastAsiaTheme="minorEastAsia"/>
        </w:rPr>
        <w:t xml:space="preserve">H, der absoluten Temperatur T und der </w:t>
      </w:r>
      <w:proofErr w:type="spellStart"/>
      <w:r>
        <w:rPr>
          <w:rFonts w:eastAsiaTheme="minorEastAsia"/>
        </w:rPr>
        <w:t>Entropieänderung</w:t>
      </w:r>
      <w:proofErr w:type="spellEnd"/>
      <w:r>
        <w:rPr>
          <w:rFonts w:eastAsiaTheme="minorEastAsia"/>
        </w:rPr>
        <w:t xml:space="preserve"> </w:t>
      </w:r>
      <w:r>
        <w:rPr>
          <w:rFonts w:ascii="Times New Roman" w:eastAsiaTheme="minorEastAsia" w:hAnsi="Times New Roman" w:cs="Times New Roman"/>
        </w:rPr>
        <w:t>Δ</w:t>
      </w:r>
      <w:r>
        <w:rPr>
          <w:rFonts w:eastAsiaTheme="minorEastAsia"/>
        </w:rPr>
        <w:t xml:space="preserve">S zur freien </w:t>
      </w:r>
      <w:proofErr w:type="spellStart"/>
      <w:r>
        <w:rPr>
          <w:rFonts w:eastAsiaTheme="minorEastAsia"/>
        </w:rPr>
        <w:t>Enthalpieänderung</w:t>
      </w:r>
      <w:proofErr w:type="spellEnd"/>
      <w:r>
        <w:rPr>
          <w:rFonts w:eastAsiaTheme="minorEastAsia"/>
        </w:rPr>
        <w:t xml:space="preserve"> </w:t>
      </w:r>
      <w:r>
        <w:rPr>
          <w:rFonts w:ascii="Times New Roman" w:eastAsiaTheme="minorEastAsia" w:hAnsi="Times New Roman" w:cs="Times New Roman"/>
        </w:rPr>
        <w:t>Δ</w:t>
      </w:r>
      <w:r>
        <w:rPr>
          <w:rFonts w:eastAsiaTheme="minorEastAsia"/>
        </w:rPr>
        <w:t xml:space="preserve">G her. </w:t>
      </w:r>
    </w:p>
    <w:p w:rsidR="004B1449" w:rsidRDefault="004B1449" w:rsidP="004B1449">
      <w:pPr>
        <w:rPr>
          <w:rFonts w:eastAsiaTheme="minorEastAsia"/>
        </w:rPr>
      </w:pPr>
    </w:p>
    <w:p w:rsidR="004B1449" w:rsidRDefault="004B1449" w:rsidP="004B1449">
      <w:pPr>
        <w:rPr>
          <w:rFonts w:eastAsiaTheme="minorEastAsia"/>
        </w:rPr>
      </w:pPr>
      <w:r w:rsidRPr="009E2AFB">
        <w:rPr>
          <w:rFonts w:eastAsiaTheme="minorEastAsia"/>
          <w:b/>
        </w:rPr>
        <w:t>Aufgabe 3</w:t>
      </w:r>
      <w:r>
        <w:rPr>
          <w:rFonts w:eastAsiaTheme="minorEastAsia"/>
          <w:b/>
        </w:rPr>
        <w:tab/>
      </w:r>
      <w:r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2∙0+0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kJ-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-2 ∙286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kJ=572 kJ</m:t>
          </m:r>
        </m:oMath>
      </m:oMathPara>
    </w:p>
    <w:p w:rsidR="004B1449" w:rsidRDefault="004B1449" w:rsidP="004B1449">
      <w:pPr>
        <w:tabs>
          <w:tab w:val="left" w:pos="1260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2∙131+205</m:t>
              </m:r>
            </m:e>
          </m:d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J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2∙70</m:t>
              </m:r>
            </m:e>
          </m:d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J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=327 </m:t>
          </m:r>
          <m:f>
            <m:fPr>
              <m:ctrlPr>
                <w:rPr>
                  <w:rFonts w:ascii="Cambria Math" w:hAnsi="Cambria Math"/>
                  <w:color w:val="aut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J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=0,327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kJ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den>
          </m:f>
        </m:oMath>
      </m:oMathPara>
    </w:p>
    <w:p w:rsidR="004B1449" w:rsidRDefault="004B1449" w:rsidP="004B1449">
      <w:pPr>
        <w:tabs>
          <w:tab w:val="left" w:pos="1134"/>
        </w:tabs>
        <w:rPr>
          <w:rFonts w:eastAsiaTheme="minorEastAsia"/>
          <w:color w:val="auto"/>
        </w:rPr>
      </w:pPr>
      <m:oMathPara>
        <m:oMath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-T∙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</m:sSubSup>
        </m:oMath>
      </m:oMathPara>
    </w:p>
    <w:p w:rsidR="004B1449" w:rsidRDefault="004B1449" w:rsidP="004B1449">
      <w:pPr>
        <w:tabs>
          <w:tab w:val="left" w:pos="930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-T∙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=572</m:t>
          </m:r>
          <m:r>
            <m:rPr>
              <m:sty m:val="p"/>
            </m:rPr>
            <w:rPr>
              <w:rFonts w:ascii="Cambria Math" w:hAnsi="Cambria Math"/>
              <w:color w:val="auto"/>
            </w:rPr>
            <m:t xml:space="preserve"> kJ</m:t>
          </m:r>
          <m:r>
            <m:rPr>
              <m:sty m:val="p"/>
            </m:rPr>
            <w:rPr>
              <w:rFonts w:ascii="Cambria Math" w:hAnsi="Cambria Math"/>
            </w:rPr>
            <m:t>-298 K∙0,327</m:t>
          </m:r>
          <m:f>
            <m:fPr>
              <m:ctrlPr>
                <w:rPr>
                  <w:rFonts w:ascii="Cambria Math" w:hAnsi="Cambria Math"/>
                  <w:color w:val="aut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kJ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=474,6 kJ </m:t>
          </m:r>
        </m:oMath>
      </m:oMathPara>
    </w:p>
    <w:p w:rsidR="004B1449" w:rsidRPr="00021C70" w:rsidRDefault="004B1449" w:rsidP="004B1449">
      <w:pPr>
        <w:tabs>
          <w:tab w:val="left" w:pos="930"/>
        </w:tabs>
      </w:pPr>
      <w:r>
        <w:rPr>
          <w:rFonts w:eastAsiaTheme="minorEastAsia"/>
        </w:rPr>
        <w:t xml:space="preserve">Die freie Reaktionsenthalpie der Zerlegung von Wasser in seine Elemente liegt </w:t>
      </w:r>
      <w:proofErr w:type="gramStart"/>
      <w:r>
        <w:rPr>
          <w:rFonts w:eastAsiaTheme="minorEastAsia"/>
        </w:rPr>
        <w:t xml:space="preserve">bei </w:t>
      </w:r>
      <m:oMath>
        <w:proofErr w:type="gramEnd"/>
        <m:r>
          <m:rPr>
            <m:sty m:val="p"/>
          </m:rPr>
          <w:rPr>
            <w:rFonts w:ascii="Cambria Math" w:hAnsi="Cambria Math"/>
          </w:rPr>
          <m:t>474,6 kJ</m:t>
        </m:r>
      </m:oMath>
      <w:r>
        <w:rPr>
          <w:rFonts w:eastAsiaTheme="minorEastAsia"/>
          <w:color w:val="auto"/>
        </w:rPr>
        <w:t>.</w:t>
      </w:r>
    </w:p>
    <w:p w:rsidR="00D54C31" w:rsidRDefault="006B1BD5"/>
    <w:sectPr w:rsidR="00D54C31" w:rsidSect="00CA5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32404297"/>
      <w:docPartObj>
        <w:docPartGallery w:val="Page Numbers (Top of Page)"/>
        <w:docPartUnique/>
      </w:docPartObj>
    </w:sdtPr>
    <w:sdtEndPr/>
    <w:sdtContent>
      <w:p w:rsidR="00155CF3" w:rsidRPr="00337B69" w:rsidRDefault="006B1BD5" w:rsidP="00337B69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449"/>
    <w:rsid w:val="003F61E8"/>
    <w:rsid w:val="004B1449"/>
    <w:rsid w:val="006838B0"/>
    <w:rsid w:val="006B1BD5"/>
    <w:rsid w:val="00741064"/>
    <w:rsid w:val="00CA5D71"/>
    <w:rsid w:val="00FE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144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144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144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144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144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144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144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144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144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144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144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144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144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14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14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14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14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14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14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B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1449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449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3408</Characters>
  <Application>Microsoft Office Word</Application>
  <DocSecurity>0</DocSecurity>
  <Lines>28</Lines>
  <Paragraphs>7</Paragraphs>
  <ScaleCrop>false</ScaleCrop>
  <Company>Frost-RL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</dc:creator>
  <cp:lastModifiedBy>Hiller</cp:lastModifiedBy>
  <cp:revision>1</cp:revision>
  <dcterms:created xsi:type="dcterms:W3CDTF">2015-08-21T14:29:00Z</dcterms:created>
  <dcterms:modified xsi:type="dcterms:W3CDTF">2015-08-21T14:29:00Z</dcterms:modified>
</cp:coreProperties>
</file>