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53" w:rsidRPr="00EF56FC" w:rsidRDefault="00E64353" w:rsidP="00E64353">
      <w:pPr>
        <w:pStyle w:val="berschrift1"/>
        <w:numPr>
          <w:ilvl w:val="0"/>
          <w:numId w:val="0"/>
        </w:numPr>
      </w:pPr>
      <w:bookmarkStart w:id="0" w:name="_Toc425776595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62.25pt;width:462.45pt;height:50.5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64353" w:rsidRPr="00F31EBF" w:rsidRDefault="00E64353" w:rsidP="00E6435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Das Experiment zeigt die unterschiedliche Reaktionsgeschwindigkeit in Abhängigkeit vom Ze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teilungsgrad. Je kleiner der Stoff, desto größer ist seine relative Oberfläche.</w:t>
                  </w:r>
                </w:p>
              </w:txbxContent>
            </v:textbox>
            <w10:wrap type="square"/>
          </v:shape>
        </w:pict>
      </w:r>
      <w:bookmarkStart w:id="1" w:name="_Toc428191269"/>
      <w:bookmarkEnd w:id="0"/>
      <w:r>
        <w:t>LV: Die Reaktionsgeschwindigkeit in Abhängigkeit der Oberfläche</w:t>
      </w:r>
      <w:bookmarkEnd w:id="1"/>
    </w:p>
    <w:p w:rsidR="00E64353" w:rsidRPr="00EF56FC" w:rsidRDefault="00E64353" w:rsidP="00E64353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64353" w:rsidRPr="009C5E28" w:rsidTr="005A17F9">
        <w:tc>
          <w:tcPr>
            <w:tcW w:w="9322" w:type="dxa"/>
            <w:gridSpan w:val="9"/>
            <w:shd w:val="clear" w:color="auto" w:fill="4F81BD"/>
            <w:vAlign w:val="center"/>
          </w:tcPr>
          <w:p w:rsidR="00E64353" w:rsidRPr="00F31EBF" w:rsidRDefault="00E64353" w:rsidP="005A17F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64353" w:rsidRPr="009C5E28" w:rsidTr="005A17F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Default="00E64353" w:rsidP="005A17F9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E64353" w:rsidRPr="009C5E28" w:rsidTr="005A17F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E64353" w:rsidRPr="009C5E28" w:rsidTr="005A17F9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Silbernitrat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E64353" w:rsidRPr="009C5E28" w:rsidRDefault="00E64353" w:rsidP="005A17F9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272, 314, 410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64353" w:rsidRPr="009C5E28" w:rsidRDefault="00E64353" w:rsidP="005A17F9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210, 221, 273, 280, 301+330+331, 305+351+338</w:t>
            </w:r>
          </w:p>
        </w:tc>
      </w:tr>
      <w:tr w:rsidR="00E64353" w:rsidRPr="009C5E28" w:rsidTr="005A17F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64353" w:rsidRPr="009C5E28" w:rsidRDefault="00E64353" w:rsidP="005A17F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353" w:rsidRDefault="00E64353" w:rsidP="00E64353">
      <w:pPr>
        <w:tabs>
          <w:tab w:val="left" w:pos="1701"/>
          <w:tab w:val="left" w:pos="1985"/>
        </w:tabs>
      </w:pPr>
    </w:p>
    <w:p w:rsidR="00E64353" w:rsidRDefault="00E64353" w:rsidP="00E64353">
      <w:pPr>
        <w:tabs>
          <w:tab w:val="left" w:pos="1701"/>
          <w:tab w:val="left" w:pos="1985"/>
        </w:tabs>
      </w:pPr>
      <w:r>
        <w:t xml:space="preserve">Materialien: </w:t>
      </w:r>
      <w:r>
        <w:tab/>
      </w:r>
      <w:r>
        <w:tab/>
        <w:t>Uhrglas, Mörser, Reagenzgläser</w:t>
      </w:r>
    </w:p>
    <w:p w:rsidR="00E64353" w:rsidRPr="00ED07C2" w:rsidRDefault="00E64353" w:rsidP="00E6435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Silbernitrat, Kaliumiodid, demineralisiertes Wasser</w:t>
      </w: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Von den beiden weißen Feststoffen Kaliumiodid und Silbernitrat werden jeweils 0,1 g auf ein Uhrglas gegeben, durchmischt und die Zeit gestoppt bis ein Farbumschlag beobachtet werden kann. Dann werden wieder jeweils 0,1 g der beiden Stoffe zusammen in einem Mörser gegeben und die Zeit bis zum Farbumschlag gestoppt. Anschließend werden wieder jeweils 0,1 g der beiden Stoffe in 2 </w:t>
      </w:r>
      <w:proofErr w:type="spellStart"/>
      <w:r>
        <w:t>mL</w:t>
      </w:r>
      <w:proofErr w:type="spellEnd"/>
      <w:r>
        <w:t xml:space="preserve"> demineralisiertem Wasser gelöst und die Lösungen zusammen gegeben. Auch hier wird die Zeit bis zum Farbumschlag g</w:t>
      </w:r>
      <w:r>
        <w:t>e</w:t>
      </w:r>
      <w:r>
        <w:t>stoppt.</w:t>
      </w: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Im Verlauf der Reaktion verfärben sich die beiden weißen Feststoffe gel</w:t>
      </w:r>
      <w:r>
        <w:t>b</w:t>
      </w:r>
      <w:r>
        <w:t>lich-grau. Dabei konnten folgende Zeiten ermittelt werden:</w:t>
      </w:r>
    </w:p>
    <w:tbl>
      <w:tblPr>
        <w:tblStyle w:val="Tabellengitternetz"/>
        <w:tblW w:w="0" w:type="auto"/>
        <w:tblInd w:w="2093" w:type="dxa"/>
        <w:tblLook w:val="04A0"/>
      </w:tblPr>
      <w:tblGrid>
        <w:gridCol w:w="3570"/>
        <w:gridCol w:w="3625"/>
      </w:tblGrid>
      <w:tr w:rsidR="00E64353" w:rsidTr="005A17F9">
        <w:tc>
          <w:tcPr>
            <w:tcW w:w="3570" w:type="dxa"/>
          </w:tcPr>
          <w:p w:rsidR="00E64353" w:rsidRPr="002E443E" w:rsidRDefault="00E64353" w:rsidP="005A17F9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2E443E">
              <w:rPr>
                <w:b/>
              </w:rPr>
              <w:t>Zerteilungsgrad</w:t>
            </w:r>
          </w:p>
        </w:tc>
        <w:tc>
          <w:tcPr>
            <w:tcW w:w="3625" w:type="dxa"/>
          </w:tcPr>
          <w:p w:rsidR="00E64353" w:rsidRPr="002E443E" w:rsidRDefault="00E64353" w:rsidP="005A17F9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2E443E">
              <w:rPr>
                <w:b/>
              </w:rPr>
              <w:t>Zeit bis zur Farbänderung [sec]</w:t>
            </w:r>
          </w:p>
        </w:tc>
      </w:tr>
      <w:tr w:rsidR="00E64353" w:rsidTr="005A17F9">
        <w:tc>
          <w:tcPr>
            <w:tcW w:w="3570" w:type="dxa"/>
          </w:tcPr>
          <w:p w:rsidR="00E64353" w:rsidRDefault="00E64353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Salz</w:t>
            </w:r>
          </w:p>
        </w:tc>
        <w:tc>
          <w:tcPr>
            <w:tcW w:w="3625" w:type="dxa"/>
          </w:tcPr>
          <w:p w:rsidR="00E64353" w:rsidRDefault="00E64353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170</w:t>
            </w:r>
          </w:p>
        </w:tc>
      </w:tr>
      <w:tr w:rsidR="00E64353" w:rsidTr="005A17F9">
        <w:tc>
          <w:tcPr>
            <w:tcW w:w="3570" w:type="dxa"/>
          </w:tcPr>
          <w:p w:rsidR="00E64353" w:rsidRDefault="00E64353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Salz gemörsert</w:t>
            </w:r>
          </w:p>
        </w:tc>
        <w:tc>
          <w:tcPr>
            <w:tcW w:w="3625" w:type="dxa"/>
          </w:tcPr>
          <w:p w:rsidR="00E64353" w:rsidRDefault="00E64353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14</w:t>
            </w:r>
          </w:p>
        </w:tc>
      </w:tr>
      <w:tr w:rsidR="00E64353" w:rsidTr="005A17F9">
        <w:tc>
          <w:tcPr>
            <w:tcW w:w="3570" w:type="dxa"/>
          </w:tcPr>
          <w:p w:rsidR="00E64353" w:rsidRDefault="00E64353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Salz in Lösung</w:t>
            </w:r>
          </w:p>
        </w:tc>
        <w:tc>
          <w:tcPr>
            <w:tcW w:w="3625" w:type="dxa"/>
          </w:tcPr>
          <w:p w:rsidR="00E64353" w:rsidRDefault="00E64353" w:rsidP="005A17F9">
            <w:pPr>
              <w:tabs>
                <w:tab w:val="left" w:pos="1701"/>
                <w:tab w:val="left" w:pos="1985"/>
              </w:tabs>
              <w:jc w:val="center"/>
            </w:pPr>
            <w:r>
              <w:t>0,7</w:t>
            </w:r>
          </w:p>
        </w:tc>
      </w:tr>
    </w:tbl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328295</wp:posOffset>
            </wp:positionV>
            <wp:extent cx="746125" cy="2338705"/>
            <wp:effectExtent l="19050" t="0" r="0" b="0"/>
            <wp:wrapTight wrapText="bothSides">
              <wp:wrapPolygon edited="0">
                <wp:start x="-551" y="0"/>
                <wp:lineTo x="-551" y="21465"/>
                <wp:lineTo x="21508" y="21465"/>
                <wp:lineTo x="21508" y="0"/>
                <wp:lineTo x="-551" y="0"/>
              </wp:wrapPolygon>
            </wp:wrapTight>
            <wp:docPr id="43" name="Grafik 42" descr="IMAG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8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328295</wp:posOffset>
            </wp:positionV>
            <wp:extent cx="1661795" cy="2338705"/>
            <wp:effectExtent l="19050" t="0" r="0" b="0"/>
            <wp:wrapTight wrapText="bothSides">
              <wp:wrapPolygon edited="0">
                <wp:start x="-248" y="0"/>
                <wp:lineTo x="-248" y="21465"/>
                <wp:lineTo x="21542" y="21465"/>
                <wp:lineTo x="21542" y="0"/>
                <wp:lineTo x="-248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</w:p>
    <w:p w:rsidR="00E64353" w:rsidRDefault="00E64353" w:rsidP="00E64353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 Farbänderung von den Salzen auf dem Uhrglas (links) und in Lösung (rechts).</w:t>
      </w:r>
    </w:p>
    <w:p w:rsidR="00E64353" w:rsidRDefault="00E64353" w:rsidP="00E64353">
      <w:pPr>
        <w:tabs>
          <w:tab w:val="left" w:pos="1701"/>
          <w:tab w:val="left" w:pos="1985"/>
        </w:tabs>
        <w:ind w:left="2124" w:hanging="2124"/>
      </w:pPr>
    </w:p>
    <w:p w:rsidR="00E64353" w:rsidRDefault="00E64353" w:rsidP="00E64353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Es findet folgende Feststoffreaktion statt:</w:t>
      </w:r>
    </w:p>
    <w:p w:rsidR="00E64353" w:rsidRPr="00193903" w:rsidRDefault="00E64353" w:rsidP="00E64353">
      <w:pPr>
        <w:tabs>
          <w:tab w:val="left" w:pos="1701"/>
          <w:tab w:val="left" w:pos="1985"/>
        </w:tabs>
        <w:ind w:left="2124" w:hanging="2124"/>
        <w:rPr>
          <w:lang w:val="en-US"/>
        </w:rPr>
      </w:pPr>
      <w:r>
        <w:tab/>
      </w:r>
      <w:r>
        <w:tab/>
      </w:r>
      <w:r>
        <w:tab/>
      </w:r>
      <w:r w:rsidRPr="00193903">
        <w:rPr>
          <w:lang w:val="en-US"/>
        </w:rPr>
        <w:t>AgNO</w:t>
      </w:r>
      <w:r w:rsidRPr="00193903">
        <w:rPr>
          <w:vertAlign w:val="subscript"/>
          <w:lang w:val="en-US"/>
        </w:rPr>
        <w:t>3(s)</w:t>
      </w:r>
      <w:r w:rsidRPr="00193903">
        <w:rPr>
          <w:lang w:val="en-US"/>
        </w:rPr>
        <w:t xml:space="preserve"> + KI</w:t>
      </w:r>
      <w:r w:rsidRPr="00193903">
        <w:rPr>
          <w:vertAlign w:val="subscript"/>
          <w:lang w:val="en-US"/>
        </w:rPr>
        <w:t>(s)</w:t>
      </w:r>
      <w:r w:rsidRPr="00193903">
        <w:rPr>
          <w:lang w:val="en-US"/>
        </w:rPr>
        <w:t xml:space="preserve"> </w:t>
      </w:r>
      <w:r>
        <w:sym w:font="Wingdings" w:char="F0E0"/>
      </w:r>
      <w:r w:rsidRPr="00193903">
        <w:rPr>
          <w:lang w:val="en-US"/>
        </w:rPr>
        <w:t xml:space="preserve"> </w:t>
      </w:r>
      <w:proofErr w:type="spellStart"/>
      <w:r w:rsidRPr="00193903">
        <w:rPr>
          <w:lang w:val="en-US"/>
        </w:rPr>
        <w:t>AgI</w:t>
      </w:r>
      <w:proofErr w:type="spellEnd"/>
      <w:r w:rsidRPr="00193903">
        <w:rPr>
          <w:vertAlign w:val="subscript"/>
          <w:lang w:val="en-US"/>
        </w:rPr>
        <w:t>(s)</w:t>
      </w:r>
      <w:r w:rsidRPr="00193903">
        <w:rPr>
          <w:lang w:val="en-US"/>
        </w:rPr>
        <w:t xml:space="preserve"> + KNO</w:t>
      </w:r>
      <w:r w:rsidRPr="00193903">
        <w:rPr>
          <w:vertAlign w:val="subscript"/>
          <w:lang w:val="en-US"/>
        </w:rPr>
        <w:t>3(s)</w:t>
      </w:r>
      <w:r w:rsidRPr="00193903">
        <w:rPr>
          <w:lang w:val="en-US"/>
        </w:rPr>
        <w:t xml:space="preserve"> </w:t>
      </w:r>
    </w:p>
    <w:p w:rsidR="00E64353" w:rsidRPr="008A4233" w:rsidRDefault="00E64353" w:rsidP="00E64353">
      <w:pPr>
        <w:tabs>
          <w:tab w:val="left" w:pos="1701"/>
          <w:tab w:val="left" w:pos="1985"/>
        </w:tabs>
        <w:ind w:left="2124" w:hanging="2124"/>
      </w:pPr>
      <w:r w:rsidRPr="00193903">
        <w:rPr>
          <w:lang w:val="en-US"/>
        </w:rPr>
        <w:tab/>
      </w:r>
      <w:r w:rsidRPr="00193903">
        <w:rPr>
          <w:lang w:val="en-US"/>
        </w:rPr>
        <w:tab/>
      </w:r>
      <w:r w:rsidRPr="00193903">
        <w:rPr>
          <w:lang w:val="en-US"/>
        </w:rPr>
        <w:tab/>
      </w:r>
      <w:r>
        <w:t>Es findet folgende Reaktion in Lösung statt:</w:t>
      </w:r>
    </w:p>
    <w:p w:rsidR="00E64353" w:rsidRPr="00193903" w:rsidRDefault="00E64353" w:rsidP="00E64353">
      <w:pPr>
        <w:tabs>
          <w:tab w:val="left" w:pos="1701"/>
          <w:tab w:val="left" w:pos="1843"/>
          <w:tab w:val="left" w:pos="1985"/>
        </w:tabs>
        <w:ind w:left="1985" w:hanging="1985"/>
        <w:rPr>
          <w:lang w:val="en-US"/>
        </w:rPr>
      </w:pPr>
      <w:r>
        <w:tab/>
      </w:r>
      <w:r>
        <w:tab/>
      </w:r>
      <w:r>
        <w:tab/>
      </w:r>
      <w:r>
        <w:tab/>
      </w:r>
      <w:r w:rsidRPr="00193903">
        <w:rPr>
          <w:lang w:val="en-US"/>
        </w:rPr>
        <w:t>Ag</w:t>
      </w:r>
      <w:r w:rsidRPr="00193903">
        <w:rPr>
          <w:vertAlign w:val="superscript"/>
          <w:lang w:val="en-US"/>
        </w:rPr>
        <w:t>+</w:t>
      </w:r>
      <w:r w:rsidRPr="00193903">
        <w:rPr>
          <w:vertAlign w:val="subscript"/>
          <w:lang w:val="en-US"/>
        </w:rPr>
        <w:t>(</w:t>
      </w:r>
      <w:proofErr w:type="spellStart"/>
      <w:r w:rsidRPr="00193903">
        <w:rPr>
          <w:vertAlign w:val="subscript"/>
          <w:lang w:val="en-US"/>
        </w:rPr>
        <w:t>aq</w:t>
      </w:r>
      <w:proofErr w:type="spellEnd"/>
      <w:r w:rsidRPr="00193903">
        <w:rPr>
          <w:vertAlign w:val="subscript"/>
          <w:lang w:val="en-US"/>
        </w:rPr>
        <w:t>)</w:t>
      </w:r>
      <w:r w:rsidRPr="00193903">
        <w:rPr>
          <w:lang w:val="en-US"/>
        </w:rPr>
        <w:t xml:space="preserve"> + NO</w:t>
      </w:r>
      <w:r w:rsidRPr="00193903">
        <w:rPr>
          <w:vertAlign w:val="subscript"/>
          <w:lang w:val="en-US"/>
        </w:rPr>
        <w:t>3</w:t>
      </w:r>
      <w:r w:rsidRPr="00193903">
        <w:rPr>
          <w:vertAlign w:val="superscript"/>
          <w:lang w:val="en-US"/>
        </w:rPr>
        <w:t>-</w:t>
      </w:r>
      <w:r w:rsidRPr="00193903">
        <w:rPr>
          <w:vertAlign w:val="subscript"/>
          <w:lang w:val="en-US"/>
        </w:rPr>
        <w:t>(</w:t>
      </w:r>
      <w:proofErr w:type="spellStart"/>
      <w:r w:rsidRPr="00193903">
        <w:rPr>
          <w:vertAlign w:val="subscript"/>
          <w:lang w:val="en-US"/>
        </w:rPr>
        <w:t>aq</w:t>
      </w:r>
      <w:proofErr w:type="spellEnd"/>
      <w:r w:rsidRPr="00193903">
        <w:rPr>
          <w:vertAlign w:val="subscript"/>
          <w:lang w:val="en-US"/>
        </w:rPr>
        <w:t>)</w:t>
      </w:r>
      <w:r w:rsidRPr="00193903">
        <w:rPr>
          <w:lang w:val="en-US"/>
        </w:rPr>
        <w:t xml:space="preserve"> + K</w:t>
      </w:r>
      <w:r w:rsidRPr="00193903">
        <w:rPr>
          <w:vertAlign w:val="superscript"/>
          <w:lang w:val="en-US"/>
        </w:rPr>
        <w:t>+</w:t>
      </w:r>
      <w:r w:rsidRPr="00193903">
        <w:rPr>
          <w:vertAlign w:val="subscript"/>
          <w:lang w:val="en-US"/>
        </w:rPr>
        <w:t>(</w:t>
      </w:r>
      <w:proofErr w:type="spellStart"/>
      <w:r w:rsidRPr="00193903">
        <w:rPr>
          <w:vertAlign w:val="subscript"/>
          <w:lang w:val="en-US"/>
        </w:rPr>
        <w:t>aq</w:t>
      </w:r>
      <w:proofErr w:type="spellEnd"/>
      <w:r w:rsidRPr="00193903">
        <w:rPr>
          <w:vertAlign w:val="subscript"/>
          <w:lang w:val="en-US"/>
        </w:rPr>
        <w:t>)</w:t>
      </w:r>
      <w:r w:rsidRPr="00193903">
        <w:rPr>
          <w:lang w:val="en-US"/>
        </w:rPr>
        <w:t xml:space="preserve"> + I</w:t>
      </w:r>
      <w:r w:rsidRPr="00193903">
        <w:rPr>
          <w:vertAlign w:val="superscript"/>
          <w:lang w:val="en-US"/>
        </w:rPr>
        <w:t>-</w:t>
      </w:r>
      <w:r w:rsidRPr="00193903">
        <w:rPr>
          <w:vertAlign w:val="subscript"/>
          <w:lang w:val="en-US"/>
        </w:rPr>
        <w:t>(</w:t>
      </w:r>
      <w:proofErr w:type="spellStart"/>
      <w:r w:rsidRPr="00193903">
        <w:rPr>
          <w:vertAlign w:val="subscript"/>
          <w:lang w:val="en-US"/>
        </w:rPr>
        <w:t>aq</w:t>
      </w:r>
      <w:proofErr w:type="spellEnd"/>
      <w:r w:rsidRPr="00193903">
        <w:rPr>
          <w:vertAlign w:val="subscript"/>
          <w:lang w:val="en-US"/>
        </w:rPr>
        <w:t>)</w:t>
      </w:r>
      <w:r w:rsidRPr="00193903">
        <w:rPr>
          <w:lang w:val="en-US"/>
        </w:rPr>
        <w:t xml:space="preserve"> </w:t>
      </w:r>
      <w:r w:rsidRPr="004E23B5">
        <w:sym w:font="Wingdings" w:char="00E0"/>
      </w:r>
      <w:r w:rsidRPr="00193903">
        <w:rPr>
          <w:lang w:val="en-US"/>
        </w:rPr>
        <w:t xml:space="preserve"> </w:t>
      </w:r>
      <w:proofErr w:type="spellStart"/>
      <w:r w:rsidRPr="00193903">
        <w:rPr>
          <w:lang w:val="en-US"/>
        </w:rPr>
        <w:t>AgI</w:t>
      </w:r>
      <w:proofErr w:type="spellEnd"/>
      <w:r w:rsidRPr="00193903">
        <w:rPr>
          <w:vertAlign w:val="subscript"/>
          <w:lang w:val="en-US"/>
        </w:rPr>
        <w:t>(s)</w:t>
      </w:r>
      <w:r w:rsidRPr="00193903">
        <w:rPr>
          <w:lang w:val="en-US"/>
        </w:rPr>
        <w:t xml:space="preserve"> + NO</w:t>
      </w:r>
      <w:r w:rsidRPr="00193903">
        <w:rPr>
          <w:vertAlign w:val="subscript"/>
          <w:lang w:val="en-US"/>
        </w:rPr>
        <w:t>3</w:t>
      </w:r>
      <w:r w:rsidRPr="00193903">
        <w:rPr>
          <w:vertAlign w:val="superscript"/>
          <w:lang w:val="en-US"/>
        </w:rPr>
        <w:t>-</w:t>
      </w:r>
      <w:r w:rsidRPr="00193903">
        <w:rPr>
          <w:vertAlign w:val="subscript"/>
          <w:lang w:val="en-US"/>
        </w:rPr>
        <w:t>(</w:t>
      </w:r>
      <w:proofErr w:type="spellStart"/>
      <w:r w:rsidRPr="00193903">
        <w:rPr>
          <w:vertAlign w:val="subscript"/>
          <w:lang w:val="en-US"/>
        </w:rPr>
        <w:t>aq</w:t>
      </w:r>
      <w:proofErr w:type="spellEnd"/>
      <w:r w:rsidRPr="00193903">
        <w:rPr>
          <w:vertAlign w:val="subscript"/>
          <w:lang w:val="en-US"/>
        </w:rPr>
        <w:t>)</w:t>
      </w:r>
      <w:r w:rsidRPr="00193903">
        <w:rPr>
          <w:lang w:val="en-US"/>
        </w:rPr>
        <w:t xml:space="preserve"> + K</w:t>
      </w:r>
      <w:r w:rsidRPr="00193903">
        <w:rPr>
          <w:vertAlign w:val="superscript"/>
          <w:lang w:val="en-US"/>
        </w:rPr>
        <w:t>+</w:t>
      </w:r>
      <w:r w:rsidRPr="00193903">
        <w:rPr>
          <w:vertAlign w:val="subscript"/>
          <w:lang w:val="en-US"/>
        </w:rPr>
        <w:t>(</w:t>
      </w:r>
      <w:proofErr w:type="spellStart"/>
      <w:r w:rsidRPr="00193903">
        <w:rPr>
          <w:vertAlign w:val="subscript"/>
          <w:lang w:val="en-US"/>
        </w:rPr>
        <w:t>aq</w:t>
      </w:r>
      <w:proofErr w:type="spellEnd"/>
      <w:r w:rsidRPr="00193903">
        <w:rPr>
          <w:vertAlign w:val="subscript"/>
          <w:lang w:val="en-US"/>
        </w:rPr>
        <w:t>)</w:t>
      </w:r>
      <w:r w:rsidRPr="00193903">
        <w:rPr>
          <w:lang w:val="en-US"/>
        </w:rPr>
        <w:t xml:space="preserve"> </w:t>
      </w:r>
    </w:p>
    <w:p w:rsidR="00E64353" w:rsidRPr="004E23B5" w:rsidRDefault="00E64353" w:rsidP="00E64353">
      <w:pPr>
        <w:tabs>
          <w:tab w:val="left" w:pos="1701"/>
          <w:tab w:val="left" w:pos="1985"/>
        </w:tabs>
        <w:ind w:left="2124" w:hanging="2124"/>
      </w:pPr>
      <w:r w:rsidRPr="00193903">
        <w:rPr>
          <w:lang w:val="en-US"/>
        </w:rPr>
        <w:tab/>
      </w:r>
      <w:r w:rsidRPr="00193903">
        <w:rPr>
          <w:lang w:val="en-US"/>
        </w:rPr>
        <w:tab/>
      </w:r>
      <w:r w:rsidRPr="00193903">
        <w:rPr>
          <w:lang w:val="en-US"/>
        </w:rPr>
        <w:tab/>
      </w:r>
      <w:r>
        <w:t>Das Experiment verdeutlicht, dass die Reaktionszeit vom Zerteilungsgrad und der Durchmischung der Ausgangsstoffe abhängig ist. Der Zerte</w:t>
      </w:r>
      <w:r>
        <w:t>i</w:t>
      </w:r>
      <w:r>
        <w:t>lungsgrad gibt das Verhältnis der Oberfläche zum Volumen eines Stoffes an. Je kleiner der Stoff ist, hier z.B. gemörsert, desto größer wird seine r</w:t>
      </w:r>
      <w:r>
        <w:t>e</w:t>
      </w:r>
      <w:r>
        <w:t>lative Oberfläche, also die Angriffsfläche für eine chemische Reaktion. Die Reaktionszeit verringert sich.</w:t>
      </w:r>
    </w:p>
    <w:p w:rsidR="00E64353" w:rsidRDefault="00E64353" w:rsidP="00E64353">
      <w:pPr>
        <w:ind w:left="2124" w:hanging="2124"/>
        <w:jc w:val="left"/>
      </w:pPr>
      <w:r>
        <w:t>Entsorgung:</w:t>
      </w:r>
      <w:r>
        <w:tab/>
        <w:t xml:space="preserve">Die Feststoffe werden in Wasser gelöst und auf dem Lehrerpult in einem Becherglas gesammelt, mit </w:t>
      </w:r>
      <w:proofErr w:type="spellStart"/>
      <w:r>
        <w:t>Natriumthiosulfat</w:t>
      </w:r>
      <w:proofErr w:type="spellEnd"/>
      <w:r>
        <w:t xml:space="preserve"> versetzt und in den Behä</w:t>
      </w:r>
      <w:r>
        <w:t>l</w:t>
      </w:r>
      <w:r>
        <w:t>ter für silberhaltige organische Stoffe gegeben.</w:t>
      </w:r>
    </w:p>
    <w:p w:rsidR="00E64353" w:rsidRDefault="00E64353" w:rsidP="00E64353">
      <w:pPr>
        <w:ind w:left="2124" w:hanging="2124"/>
      </w:pPr>
      <w:r>
        <w:t>Literatur:</w:t>
      </w:r>
      <w:r>
        <w:tab/>
        <w:t xml:space="preserve">H. </w:t>
      </w:r>
      <w:proofErr w:type="spellStart"/>
      <w:r>
        <w:t>Keune</w:t>
      </w:r>
      <w:proofErr w:type="spellEnd"/>
      <w:r>
        <w:t xml:space="preserve">, H. </w:t>
      </w:r>
      <w:proofErr w:type="spellStart"/>
      <w:r>
        <w:t>Böhland</w:t>
      </w:r>
      <w:proofErr w:type="spellEnd"/>
      <w:r>
        <w:t>, Chemische Schulexperimente – Band 3: Allgemeine, physikalische und analytische Chemie, Chemie und Umwelt, Volk und Wissen Verlag, 1. Auflage, 2001, S. 90 f.</w:t>
      </w:r>
    </w:p>
    <w:p w:rsidR="00E64353" w:rsidRDefault="00E64353" w:rsidP="00E64353">
      <w:pPr>
        <w:spacing w:line="276" w:lineRule="auto"/>
        <w:jc w:val="left"/>
      </w:pPr>
    </w:p>
    <w:p w:rsidR="00E64353" w:rsidRDefault="00E64353" w:rsidP="00E64353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101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E64353" w:rsidRPr="00553BBD" w:rsidRDefault="00E64353" w:rsidP="00E64353">
                  <w:pPr>
                    <w:rPr>
                      <w:color w:val="auto"/>
                    </w:rPr>
                  </w:pPr>
                  <w:r w:rsidRPr="00553BBD">
                    <w:rPr>
                      <w:color w:val="auto"/>
                    </w:rPr>
                    <w:t>Im Anschluss können weitere Reaktionen zur Messung der Reaktionsgeschwindigkeit in A</w:t>
                  </w:r>
                  <w:r w:rsidRPr="00553BBD">
                    <w:rPr>
                      <w:color w:val="auto"/>
                    </w:rPr>
                    <w:t>b</w:t>
                  </w:r>
                  <w:r w:rsidRPr="00553BBD">
                    <w:rPr>
                      <w:color w:val="auto"/>
                    </w:rPr>
                    <w:t>hängigkeit einer anderen Variable (z.B. Druck, Temperatur, Konzentration oder Katalysator) durchgeführt werden.</w:t>
                  </w:r>
                </w:p>
                <w:p w:rsidR="00E64353" w:rsidRPr="00553BBD" w:rsidRDefault="00E64353" w:rsidP="00E64353">
                  <w:pPr>
                    <w:rPr>
                      <w:color w:val="auto"/>
                    </w:rPr>
                  </w:pPr>
                  <w:r w:rsidRPr="00553BBD">
                    <w:rPr>
                      <w:color w:val="auto"/>
                    </w:rPr>
                    <w:t>Als Erweiterung könnte noch die Reaktionsordnung der Reaktion bestimmt werden.</w:t>
                  </w:r>
                </w:p>
              </w:txbxContent>
            </v:textbox>
            <w10:wrap type="none"/>
            <w10:anchorlock/>
          </v:shape>
        </w:pict>
      </w:r>
    </w:p>
    <w:p w:rsidR="00E64353" w:rsidRPr="006E32AF" w:rsidRDefault="00E64353" w:rsidP="00E6435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BC7714" w:rsidRDefault="00BC7714"/>
    <w:sectPr w:rsidR="00BC7714" w:rsidSect="00BC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4353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4B1A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5562"/>
    <w:rsid w:val="002C5CAC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8113F"/>
    <w:rsid w:val="00984334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D74ED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4416B"/>
    <w:rsid w:val="00D44FCA"/>
    <w:rsid w:val="00D5068E"/>
    <w:rsid w:val="00D52028"/>
    <w:rsid w:val="00D55582"/>
    <w:rsid w:val="00D5668E"/>
    <w:rsid w:val="00D56ABD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353"/>
    <w:rsid w:val="00E64746"/>
    <w:rsid w:val="00E71912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35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435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435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435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435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435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35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35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35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35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435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435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435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43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43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43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43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43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43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64353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E6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353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2015-08-27T09:30:00Z</dcterms:created>
  <dcterms:modified xsi:type="dcterms:W3CDTF">2015-08-27T09:33:00Z</dcterms:modified>
</cp:coreProperties>
</file>